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9810" w:type="dxa"/>
        <w:tblInd w:w="108" w:type="dxa"/>
        <w:tblLayout w:type="fixed"/>
        <w:tblLook w:val="01E0"/>
      </w:tblPr>
      <w:tblGrid>
        <w:gridCol w:w="709"/>
        <w:gridCol w:w="101"/>
        <w:gridCol w:w="3018"/>
        <w:gridCol w:w="141"/>
        <w:gridCol w:w="1251"/>
        <w:gridCol w:w="4590"/>
      </w:tblGrid>
      <w:tr w:rsidR="008F0D0D" w:rsidRPr="00AA36D6" w:rsidTr="00B635A6">
        <w:trPr>
          <w:trHeight w:val="994"/>
        </w:trPr>
        <w:tc>
          <w:tcPr>
            <w:tcW w:w="3969" w:type="dxa"/>
            <w:gridSpan w:val="4"/>
          </w:tcPr>
          <w:p w:rsidR="008F0D0D" w:rsidRPr="00AA36D6" w:rsidRDefault="004A7D2F" w:rsidP="002D2C0E">
            <w:pPr>
              <w:jc w:val="center"/>
              <w:rPr>
                <w:rFonts w:ascii="Arial Narrow" w:hAnsi="Arial Narrow" w:cs="Arial"/>
                <w:noProof/>
                <w:lang w:val="en-US"/>
              </w:rPr>
            </w:pPr>
            <w:r>
              <w:rPr>
                <w:rFonts w:ascii="Arial Narrow" w:hAnsi="Arial Narrow" w:cs="Arial"/>
                <w:noProof/>
              </w:rPr>
              <w:drawing>
                <wp:inline distT="0" distB="0" distL="0" distR="0">
                  <wp:extent cx="716280" cy="724535"/>
                  <wp:effectExtent l="19050" t="0" r="7620" b="0"/>
                  <wp:docPr id="1"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7" cstate="print"/>
                          <a:srcRect/>
                          <a:stretch>
                            <a:fillRect/>
                          </a:stretch>
                        </pic:blipFill>
                        <pic:spPr bwMode="auto">
                          <a:xfrm>
                            <a:off x="0" y="0"/>
                            <a:ext cx="716280" cy="724535"/>
                          </a:xfrm>
                          <a:prstGeom prst="rect">
                            <a:avLst/>
                          </a:prstGeom>
                          <a:noFill/>
                          <a:ln w="9525">
                            <a:noFill/>
                            <a:miter lim="800000"/>
                            <a:headEnd/>
                            <a:tailEnd/>
                          </a:ln>
                        </pic:spPr>
                      </pic:pic>
                    </a:graphicData>
                  </a:graphic>
                </wp:inline>
              </w:drawing>
            </w:r>
          </w:p>
          <w:p w:rsidR="008F0D0D" w:rsidRPr="00AA36D6" w:rsidRDefault="008F0D0D" w:rsidP="002D2C0E">
            <w:pPr>
              <w:rPr>
                <w:rFonts w:ascii="Arial Narrow" w:hAnsi="Arial Narrow" w:cs="Arial"/>
                <w:b/>
                <w:lang w:val="en-US"/>
              </w:rPr>
            </w:pPr>
          </w:p>
        </w:tc>
        <w:tc>
          <w:tcPr>
            <w:tcW w:w="5841" w:type="dxa"/>
            <w:gridSpan w:val="2"/>
            <w:vMerge w:val="restart"/>
            <w:shd w:val="clear" w:color="auto" w:fill="auto"/>
            <w:vAlign w:val="center"/>
          </w:tcPr>
          <w:p w:rsidR="008F0D0D" w:rsidRPr="00AA36D6" w:rsidRDefault="008F0D0D" w:rsidP="002D2C0E">
            <w:pPr>
              <w:ind w:right="-108"/>
              <w:jc w:val="right"/>
              <w:rPr>
                <w:rFonts w:ascii="Arial Narrow" w:hAnsi="Arial Narrow" w:cs="Arial"/>
                <w:b/>
              </w:rPr>
            </w:pPr>
            <w:bookmarkStart w:id="0" w:name="ΟΡΘΗ_ΕΠΑΝΑΛΗΨΗ_1"/>
            <w:bookmarkEnd w:id="0"/>
          </w:p>
          <w:p w:rsidR="008F0D0D" w:rsidRPr="00AA36D6" w:rsidRDefault="008F0D0D" w:rsidP="002D2C0E">
            <w:pPr>
              <w:ind w:right="-108"/>
              <w:jc w:val="right"/>
              <w:rPr>
                <w:rFonts w:ascii="Arial Narrow" w:hAnsi="Arial Narrow" w:cs="Arial"/>
              </w:rPr>
            </w:pPr>
            <w:bookmarkStart w:id="1" w:name="ΟΡΘΗ_ΕΠΑΝΑΛΗΨΗ_2"/>
            <w:bookmarkEnd w:id="1"/>
          </w:p>
          <w:p w:rsidR="008F0D0D" w:rsidRPr="00AA36D6" w:rsidRDefault="008F0D0D" w:rsidP="002D2C0E">
            <w:pPr>
              <w:ind w:right="-108"/>
              <w:jc w:val="right"/>
              <w:rPr>
                <w:rFonts w:ascii="Arial Narrow" w:hAnsi="Arial Narrow" w:cs="Arial"/>
                <w:b/>
              </w:rPr>
            </w:pPr>
          </w:p>
          <w:p w:rsidR="008F0D0D" w:rsidRPr="00AA36D6" w:rsidRDefault="00C52CF9" w:rsidP="002D2C0E">
            <w:pPr>
              <w:ind w:right="-108"/>
              <w:jc w:val="right"/>
              <w:rPr>
                <w:rFonts w:ascii="Arial Narrow" w:hAnsi="Arial Narrow" w:cs="Arial"/>
                <w:b/>
              </w:rPr>
            </w:pPr>
            <w:r>
              <w:rPr>
                <w:rFonts w:ascii="Arial Narrow" w:hAnsi="Arial Narrow" w:cs="Arial"/>
                <w:b/>
              </w:rPr>
              <w:t>ΑΔΙΑΒΑΘΜΗΤΟ</w:t>
            </w:r>
          </w:p>
          <w:p w:rsidR="008F0D0D" w:rsidRPr="00AA36D6" w:rsidRDefault="008F0D0D" w:rsidP="002D2C0E">
            <w:pPr>
              <w:ind w:right="-108"/>
              <w:jc w:val="right"/>
              <w:rPr>
                <w:rFonts w:ascii="Arial Narrow" w:hAnsi="Arial Narrow" w:cs="Arial"/>
                <w:b/>
              </w:rPr>
            </w:pPr>
            <w:bookmarkStart w:id="2" w:name="ΠΡΟΤΕΡΑΙΟΤΗΤΑ"/>
            <w:r w:rsidRPr="00AA36D6">
              <w:rPr>
                <w:rFonts w:ascii="Arial Narrow" w:hAnsi="Arial Narrow" w:cs="Arial"/>
                <w:b/>
              </w:rPr>
              <w:t>ΚΑΝΟΝΙΚΟ</w:t>
            </w:r>
            <w:bookmarkEnd w:id="2"/>
          </w:p>
          <w:p w:rsidR="008F0D0D" w:rsidRPr="00AA36D6" w:rsidRDefault="008F0D0D" w:rsidP="002D2C0E">
            <w:pPr>
              <w:ind w:right="-108"/>
              <w:jc w:val="right"/>
              <w:rPr>
                <w:rFonts w:ascii="Arial Narrow" w:hAnsi="Arial Narrow" w:cs="Arial"/>
                <w:b/>
              </w:rPr>
            </w:pPr>
            <w:bookmarkStart w:id="3" w:name="ΕΝΕΡΓΕΙΑ_ΕΩΣ"/>
            <w:bookmarkEnd w:id="3"/>
          </w:p>
        </w:tc>
      </w:tr>
      <w:tr w:rsidR="008F0D0D" w:rsidRPr="00AA36D6" w:rsidTr="00B635A6">
        <w:trPr>
          <w:trHeight w:val="292"/>
        </w:trPr>
        <w:tc>
          <w:tcPr>
            <w:tcW w:w="3969" w:type="dxa"/>
            <w:gridSpan w:val="4"/>
          </w:tcPr>
          <w:p w:rsidR="008F0D0D" w:rsidRPr="00AA36D6" w:rsidRDefault="00AA36D6" w:rsidP="00B635A6">
            <w:pPr>
              <w:ind w:left="-108" w:right="-108"/>
              <w:jc w:val="center"/>
              <w:rPr>
                <w:rFonts w:ascii="Arial Narrow" w:hAnsi="Arial Narrow" w:cs="Arial"/>
                <w:b/>
                <w:color w:val="003DCC"/>
                <w:spacing w:val="20"/>
                <w:w w:val="120"/>
              </w:rPr>
            </w:pPr>
            <w:r w:rsidRPr="00AA36D6">
              <w:rPr>
                <w:rFonts w:ascii="Arial Narrow" w:hAnsi="Arial Narrow" w:cs="Arial"/>
                <w:b/>
                <w:color w:val="003DCC"/>
                <w:spacing w:val="20"/>
                <w:w w:val="120"/>
              </w:rPr>
              <w:t>ΠΡΕΣΒΕΙΑ ΤΗΣ ΕΛΛΑΔ</w:t>
            </w:r>
            <w:r w:rsidR="00B635A6">
              <w:rPr>
                <w:rFonts w:ascii="Arial Narrow" w:hAnsi="Arial Narrow" w:cs="Arial"/>
                <w:b/>
                <w:color w:val="003DCC"/>
                <w:spacing w:val="20"/>
                <w:w w:val="120"/>
              </w:rPr>
              <w:t>Ο</w:t>
            </w:r>
            <w:r w:rsidRPr="00AA36D6">
              <w:rPr>
                <w:rFonts w:ascii="Arial Narrow" w:hAnsi="Arial Narrow" w:cs="Arial"/>
                <w:b/>
                <w:color w:val="003DCC"/>
                <w:spacing w:val="20"/>
                <w:w w:val="120"/>
              </w:rPr>
              <w:t>Σ</w:t>
            </w:r>
          </w:p>
        </w:tc>
        <w:tc>
          <w:tcPr>
            <w:tcW w:w="5841" w:type="dxa"/>
            <w:gridSpan w:val="2"/>
            <w:vMerge/>
            <w:shd w:val="clear" w:color="auto" w:fill="auto"/>
          </w:tcPr>
          <w:p w:rsidR="008F0D0D" w:rsidRPr="00AA36D6" w:rsidRDefault="008F0D0D" w:rsidP="002D2C0E">
            <w:pPr>
              <w:rPr>
                <w:rFonts w:ascii="Arial Narrow" w:hAnsi="Arial Narrow" w:cs="Arial"/>
              </w:rPr>
            </w:pPr>
          </w:p>
        </w:tc>
      </w:tr>
      <w:tr w:rsidR="008F0D0D" w:rsidRPr="00AA36D6" w:rsidTr="00B635A6">
        <w:trPr>
          <w:trHeight w:val="375"/>
        </w:trPr>
        <w:tc>
          <w:tcPr>
            <w:tcW w:w="3969" w:type="dxa"/>
            <w:gridSpan w:val="4"/>
            <w:shd w:val="clear" w:color="auto" w:fill="auto"/>
            <w:vAlign w:val="center"/>
          </w:tcPr>
          <w:p w:rsidR="008F0D0D" w:rsidRDefault="00AA36D6" w:rsidP="002D2C0E">
            <w:pPr>
              <w:jc w:val="center"/>
              <w:rPr>
                <w:rFonts w:ascii="Arial Narrow" w:hAnsi="Arial Narrow" w:cs="Arial"/>
                <w:b/>
                <w:color w:val="003DCC"/>
                <w:spacing w:val="20"/>
                <w:w w:val="120"/>
                <w:sz w:val="4"/>
                <w:szCs w:val="4"/>
              </w:rPr>
            </w:pPr>
            <w:r w:rsidRPr="00C47269">
              <w:rPr>
                <w:rFonts w:ascii="Arial Narrow" w:hAnsi="Arial Narrow" w:cs="Arial"/>
                <w:b/>
                <w:color w:val="003DCC"/>
                <w:spacing w:val="20"/>
                <w:w w:val="120"/>
              </w:rPr>
              <w:t>ΒΟΥΔΑΠΕΣΤΗ</w:t>
            </w:r>
          </w:p>
          <w:p w:rsidR="00C47269" w:rsidRPr="00C47269" w:rsidRDefault="00C47269" w:rsidP="002D2C0E">
            <w:pPr>
              <w:jc w:val="center"/>
              <w:rPr>
                <w:rFonts w:ascii="Arial Narrow" w:hAnsi="Arial Narrow" w:cs="Arial"/>
                <w:b/>
                <w:color w:val="003DCC"/>
                <w:spacing w:val="20"/>
                <w:w w:val="120"/>
                <w:sz w:val="4"/>
                <w:szCs w:val="4"/>
              </w:rPr>
            </w:pPr>
          </w:p>
          <w:p w:rsidR="00C47269" w:rsidRPr="00C47269" w:rsidRDefault="00C47269" w:rsidP="002D2C0E">
            <w:pPr>
              <w:jc w:val="center"/>
              <w:rPr>
                <w:rFonts w:ascii="Arial Narrow" w:hAnsi="Arial Narrow" w:cs="Arial"/>
                <w:b/>
                <w:color w:val="003DCC"/>
                <w:spacing w:val="20"/>
                <w:w w:val="120"/>
                <w:sz w:val="22"/>
                <w:szCs w:val="22"/>
              </w:rPr>
            </w:pPr>
            <w:r w:rsidRPr="00C47269">
              <w:rPr>
                <w:rFonts w:ascii="Arial Narrow" w:hAnsi="Arial Narrow" w:cs="Arial"/>
                <w:b/>
                <w:color w:val="003DCC"/>
                <w:spacing w:val="20"/>
                <w:w w:val="120"/>
                <w:sz w:val="22"/>
                <w:szCs w:val="22"/>
              </w:rPr>
              <w:t>ΓΡΑΦΕΙΟ ΟΙΚΟΝΟΜΙΚΩΝ ΚΑΙ ΕΜΠΟΡΙΚΩΝ ΥΠΟΘΕΣΕΩΝ</w:t>
            </w:r>
          </w:p>
        </w:tc>
        <w:tc>
          <w:tcPr>
            <w:tcW w:w="5841" w:type="dxa"/>
            <w:gridSpan w:val="2"/>
            <w:vMerge/>
            <w:shd w:val="clear" w:color="auto" w:fill="auto"/>
          </w:tcPr>
          <w:p w:rsidR="008F0D0D" w:rsidRPr="00AA36D6" w:rsidRDefault="008F0D0D" w:rsidP="002D2C0E">
            <w:pPr>
              <w:rPr>
                <w:rFonts w:ascii="Arial Narrow" w:hAnsi="Arial Narrow" w:cs="Arial"/>
              </w:rPr>
            </w:pPr>
          </w:p>
        </w:tc>
      </w:tr>
      <w:tr w:rsidR="008F0D0D" w:rsidRPr="00AA36D6" w:rsidTr="002D2C0E">
        <w:trPr>
          <w:trHeight w:val="310"/>
        </w:trPr>
        <w:tc>
          <w:tcPr>
            <w:tcW w:w="9810" w:type="dxa"/>
            <w:gridSpan w:val="6"/>
            <w:vAlign w:val="center"/>
          </w:tcPr>
          <w:p w:rsidR="008F0D0D" w:rsidRPr="00AA36D6" w:rsidRDefault="008F0D0D" w:rsidP="002D2C0E">
            <w:pPr>
              <w:rPr>
                <w:rFonts w:ascii="Arial Narrow" w:hAnsi="Arial Narrow" w:cs="Arial"/>
                <w:b/>
              </w:rPr>
            </w:pPr>
          </w:p>
        </w:tc>
      </w:tr>
      <w:tr w:rsidR="008F0D0D" w:rsidRPr="00AA36D6" w:rsidTr="005A6BEE">
        <w:tc>
          <w:tcPr>
            <w:tcW w:w="810" w:type="dxa"/>
            <w:gridSpan w:val="2"/>
            <w:vAlign w:val="center"/>
          </w:tcPr>
          <w:p w:rsidR="008F0D0D" w:rsidRPr="005E4265" w:rsidRDefault="005E4265" w:rsidP="005E4265">
            <w:pPr>
              <w:tabs>
                <w:tab w:val="right" w:pos="3256"/>
              </w:tabs>
              <w:ind w:left="-108" w:right="-108"/>
              <w:rPr>
                <w:rFonts w:ascii="Arial Narrow" w:hAnsi="Arial Narrow" w:cs="Arial"/>
                <w:b/>
                <w:sz w:val="20"/>
                <w:szCs w:val="20"/>
                <w:lang w:val="hu-HU"/>
              </w:rPr>
            </w:pPr>
            <w:r>
              <w:rPr>
                <w:rFonts w:ascii="Arial Narrow" w:hAnsi="Arial Narrow" w:cs="Arial"/>
                <w:b/>
                <w:sz w:val="20"/>
                <w:szCs w:val="20"/>
              </w:rPr>
              <w:t>Τηλ.:</w:t>
            </w:r>
            <w:r w:rsidRPr="00AA36D6">
              <w:rPr>
                <w:rFonts w:ascii="Arial Narrow" w:hAnsi="Arial Narrow" w:cs="Arial"/>
                <w:b/>
                <w:sz w:val="20"/>
                <w:szCs w:val="20"/>
              </w:rPr>
              <w:t xml:space="preserve">   </w:t>
            </w:r>
          </w:p>
        </w:tc>
        <w:tc>
          <w:tcPr>
            <w:tcW w:w="3018" w:type="dxa"/>
            <w:shd w:val="clear" w:color="auto" w:fill="auto"/>
            <w:vAlign w:val="center"/>
          </w:tcPr>
          <w:p w:rsidR="008F0D0D" w:rsidRPr="00AA36D6" w:rsidRDefault="005E4265" w:rsidP="002D2C0E">
            <w:pPr>
              <w:rPr>
                <w:rFonts w:ascii="Arial Narrow" w:hAnsi="Arial Narrow" w:cs="Arial"/>
                <w:b/>
                <w:sz w:val="18"/>
                <w:szCs w:val="18"/>
              </w:rPr>
            </w:pPr>
            <w:r w:rsidRPr="004F76B0">
              <w:rPr>
                <w:rFonts w:ascii="Arial Narrow" w:hAnsi="Arial Narrow" w:cs="Arial"/>
                <w:b/>
                <w:sz w:val="20"/>
                <w:szCs w:val="20"/>
              </w:rPr>
              <w:t>+36 1 4132612, +36 1 4132613</w:t>
            </w:r>
          </w:p>
        </w:tc>
        <w:tc>
          <w:tcPr>
            <w:tcW w:w="1392" w:type="dxa"/>
            <w:gridSpan w:val="2"/>
            <w:shd w:val="clear" w:color="auto" w:fill="auto"/>
          </w:tcPr>
          <w:p w:rsidR="008F0D0D" w:rsidRPr="00AA36D6" w:rsidRDefault="008F0D0D" w:rsidP="002D2C0E">
            <w:pPr>
              <w:ind w:left="-108" w:right="-108"/>
              <w:jc w:val="right"/>
              <w:rPr>
                <w:rFonts w:ascii="Arial Narrow" w:hAnsi="Arial Narrow" w:cs="Arial"/>
                <w:b/>
                <w:sz w:val="18"/>
                <w:szCs w:val="18"/>
              </w:rPr>
            </w:pPr>
          </w:p>
        </w:tc>
        <w:tc>
          <w:tcPr>
            <w:tcW w:w="4590" w:type="dxa"/>
            <w:shd w:val="clear" w:color="auto" w:fill="auto"/>
          </w:tcPr>
          <w:p w:rsidR="008F0D0D" w:rsidRPr="005A6BEE" w:rsidRDefault="002D2C0E" w:rsidP="003205C8">
            <w:pPr>
              <w:jc w:val="right"/>
              <w:rPr>
                <w:rFonts w:ascii="Arial Narrow" w:hAnsi="Arial Narrow" w:cs="Arial"/>
              </w:rPr>
            </w:pPr>
            <w:bookmarkStart w:id="4" w:name="ΠΟΛΗ"/>
            <w:r w:rsidRPr="00AA36D6">
              <w:rPr>
                <w:rFonts w:ascii="Arial Narrow" w:hAnsi="Arial Narrow" w:cs="Arial"/>
              </w:rPr>
              <w:t>Βουδαπέστη</w:t>
            </w:r>
            <w:bookmarkEnd w:id="4"/>
            <w:r w:rsidRPr="00AA36D6">
              <w:rPr>
                <w:rFonts w:ascii="Arial Narrow" w:hAnsi="Arial Narrow" w:cs="Arial"/>
              </w:rPr>
              <w:t xml:space="preserve">, </w:t>
            </w:r>
            <w:r w:rsidR="003205C8">
              <w:rPr>
                <w:rFonts w:ascii="Arial Narrow" w:hAnsi="Arial Narrow" w:cs="Arial"/>
              </w:rPr>
              <w:t>15</w:t>
            </w:r>
            <w:r w:rsidR="00C04093">
              <w:rPr>
                <w:rFonts w:ascii="Arial Narrow" w:hAnsi="Arial Narrow" w:cs="Arial"/>
              </w:rPr>
              <w:t xml:space="preserve"> </w:t>
            </w:r>
            <w:r w:rsidR="003205C8">
              <w:rPr>
                <w:rFonts w:ascii="Arial Narrow" w:hAnsi="Arial Narrow" w:cs="Arial"/>
              </w:rPr>
              <w:t>Απριλίου</w:t>
            </w:r>
            <w:r w:rsidR="007E6784">
              <w:rPr>
                <w:rFonts w:ascii="Arial Narrow" w:hAnsi="Arial Narrow" w:cs="Arial"/>
              </w:rPr>
              <w:t xml:space="preserve"> </w:t>
            </w:r>
            <w:r w:rsidR="008F0D0D" w:rsidRPr="00AA36D6">
              <w:rPr>
                <w:rFonts w:ascii="Arial Narrow" w:hAnsi="Arial Narrow" w:cs="Arial"/>
              </w:rPr>
              <w:t>202</w:t>
            </w:r>
            <w:r w:rsidR="00C04093">
              <w:rPr>
                <w:rFonts w:ascii="Arial Narrow" w:hAnsi="Arial Narrow" w:cs="Arial"/>
              </w:rPr>
              <w:t>1</w:t>
            </w:r>
          </w:p>
        </w:tc>
      </w:tr>
      <w:tr w:rsidR="005A6BEE" w:rsidRPr="005A6BEE" w:rsidTr="005A6BEE">
        <w:tc>
          <w:tcPr>
            <w:tcW w:w="810" w:type="dxa"/>
            <w:gridSpan w:val="2"/>
            <w:vAlign w:val="center"/>
          </w:tcPr>
          <w:p w:rsidR="005A6BEE" w:rsidRDefault="005A6BEE" w:rsidP="005E4265">
            <w:pPr>
              <w:tabs>
                <w:tab w:val="right" w:pos="3256"/>
              </w:tabs>
              <w:ind w:left="-108" w:right="-108"/>
              <w:rPr>
                <w:rFonts w:ascii="Arial Narrow" w:hAnsi="Arial Narrow" w:cs="Arial"/>
                <w:b/>
                <w:sz w:val="20"/>
                <w:szCs w:val="20"/>
              </w:rPr>
            </w:pPr>
            <w:bookmarkStart w:id="5" w:name="ΣΤΟΙΧΕΙΑ_ΕΠΙΚΟΙΝ"/>
            <w:r w:rsidRPr="005A6BEE">
              <w:rPr>
                <w:rFonts w:ascii="Arial Narrow" w:hAnsi="Arial Narrow" w:cs="Arial"/>
                <w:b/>
                <w:sz w:val="20"/>
                <w:szCs w:val="20"/>
                <w:lang w:val="en-US"/>
              </w:rPr>
              <w:t>E-mail:</w:t>
            </w:r>
            <w:bookmarkEnd w:id="5"/>
          </w:p>
        </w:tc>
        <w:tc>
          <w:tcPr>
            <w:tcW w:w="3018" w:type="dxa"/>
            <w:shd w:val="clear" w:color="auto" w:fill="auto"/>
            <w:vAlign w:val="center"/>
          </w:tcPr>
          <w:p w:rsidR="005A6BEE" w:rsidRPr="005A6BEE" w:rsidRDefault="005A6BEE" w:rsidP="002D2C0E">
            <w:pPr>
              <w:rPr>
                <w:rFonts w:ascii="Arial Narrow" w:hAnsi="Arial Narrow" w:cs="Arial"/>
                <w:b/>
                <w:sz w:val="20"/>
                <w:szCs w:val="20"/>
                <w:lang w:val="en-US"/>
              </w:rPr>
            </w:pPr>
            <w:r w:rsidRPr="004F76B0">
              <w:rPr>
                <w:rFonts w:ascii="Arial Narrow" w:hAnsi="Arial Narrow" w:cs="Arial"/>
                <w:b/>
                <w:sz w:val="20"/>
                <w:szCs w:val="20"/>
                <w:lang w:val="en-US"/>
              </w:rPr>
              <w:t>ecocom</w:t>
            </w:r>
            <w:r w:rsidRPr="005A6BEE">
              <w:rPr>
                <w:rFonts w:ascii="Arial Narrow" w:hAnsi="Arial Narrow" w:cs="Arial"/>
                <w:b/>
                <w:sz w:val="20"/>
                <w:szCs w:val="20"/>
                <w:lang w:val="en-US"/>
              </w:rPr>
              <w:t>-</w:t>
            </w:r>
            <w:r w:rsidRPr="004F76B0">
              <w:rPr>
                <w:rFonts w:ascii="Arial Narrow" w:hAnsi="Arial Narrow" w:cs="Arial"/>
                <w:b/>
                <w:sz w:val="20"/>
                <w:szCs w:val="20"/>
                <w:lang w:val="en-US"/>
              </w:rPr>
              <w:t>budapest</w:t>
            </w:r>
            <w:r w:rsidRPr="005A6BEE">
              <w:rPr>
                <w:rFonts w:ascii="Arial Narrow" w:hAnsi="Arial Narrow" w:cs="Arial"/>
                <w:b/>
                <w:sz w:val="20"/>
                <w:szCs w:val="20"/>
                <w:lang w:val="en-US"/>
              </w:rPr>
              <w:t>@</w:t>
            </w:r>
            <w:r w:rsidRPr="004F76B0">
              <w:rPr>
                <w:rFonts w:ascii="Arial Narrow" w:hAnsi="Arial Narrow" w:cs="Arial"/>
                <w:b/>
                <w:sz w:val="20"/>
                <w:szCs w:val="20"/>
                <w:lang w:val="en-US"/>
              </w:rPr>
              <w:t>mfa</w:t>
            </w:r>
            <w:r w:rsidRPr="005A6BEE">
              <w:rPr>
                <w:rFonts w:ascii="Arial Narrow" w:hAnsi="Arial Narrow" w:cs="Arial"/>
                <w:b/>
                <w:sz w:val="20"/>
                <w:szCs w:val="20"/>
                <w:lang w:val="en-US"/>
              </w:rPr>
              <w:t>.</w:t>
            </w:r>
            <w:r w:rsidRPr="004F76B0">
              <w:rPr>
                <w:rFonts w:ascii="Arial Narrow" w:hAnsi="Arial Narrow" w:cs="Arial"/>
                <w:b/>
                <w:sz w:val="20"/>
                <w:szCs w:val="20"/>
                <w:lang w:val="en-US"/>
              </w:rPr>
              <w:t>gr</w:t>
            </w:r>
          </w:p>
        </w:tc>
        <w:tc>
          <w:tcPr>
            <w:tcW w:w="1392" w:type="dxa"/>
            <w:gridSpan w:val="2"/>
            <w:shd w:val="clear" w:color="auto" w:fill="auto"/>
          </w:tcPr>
          <w:p w:rsidR="005A6BEE" w:rsidRPr="005A6BEE" w:rsidRDefault="005A6BEE" w:rsidP="002D2C0E">
            <w:pPr>
              <w:ind w:left="-108" w:right="-108"/>
              <w:jc w:val="right"/>
              <w:rPr>
                <w:rFonts w:ascii="Arial Narrow" w:hAnsi="Arial Narrow" w:cs="Arial"/>
                <w:b/>
                <w:sz w:val="18"/>
                <w:szCs w:val="18"/>
                <w:lang w:val="en-US"/>
              </w:rPr>
            </w:pPr>
          </w:p>
        </w:tc>
        <w:tc>
          <w:tcPr>
            <w:tcW w:w="4590" w:type="dxa"/>
            <w:shd w:val="clear" w:color="auto" w:fill="auto"/>
          </w:tcPr>
          <w:p w:rsidR="005A6BEE" w:rsidRPr="005A6BEE" w:rsidRDefault="005A6BEE" w:rsidP="00044E81">
            <w:pPr>
              <w:jc w:val="right"/>
              <w:rPr>
                <w:rFonts w:ascii="Arial Narrow" w:hAnsi="Arial Narrow" w:cs="Arial"/>
                <w:lang w:val="en-US"/>
              </w:rPr>
            </w:pPr>
            <w:r w:rsidRPr="00881ED0">
              <w:rPr>
                <w:rFonts w:ascii="Arial Narrow" w:hAnsi="Arial Narrow" w:cs="Arial"/>
              </w:rPr>
              <w:t>ΑΠΦ</w:t>
            </w:r>
            <w:r>
              <w:rPr>
                <w:rFonts w:ascii="Arial Narrow" w:hAnsi="Arial Narrow" w:cs="Arial"/>
              </w:rPr>
              <w:t xml:space="preserve">. </w:t>
            </w:r>
            <w:r w:rsidRPr="00881ED0">
              <w:rPr>
                <w:rFonts w:ascii="Arial Narrow" w:hAnsi="Arial Narrow" w:cs="Arial"/>
              </w:rPr>
              <w:t>2</w:t>
            </w:r>
            <w:r w:rsidR="00044E81">
              <w:rPr>
                <w:rFonts w:ascii="Arial Narrow" w:hAnsi="Arial Narrow" w:cs="Arial"/>
              </w:rPr>
              <w:t>20</w:t>
            </w:r>
            <w:r w:rsidRPr="00881ED0">
              <w:rPr>
                <w:rFonts w:ascii="Arial Narrow" w:hAnsi="Arial Narrow" w:cs="Arial"/>
              </w:rPr>
              <w:t>0/0</w:t>
            </w:r>
            <w:bookmarkStart w:id="6" w:name="ΟΡΘΗ_ΕΠΑΝΑΛΗΨΗ_3"/>
            <w:bookmarkEnd w:id="6"/>
            <w:r w:rsidR="003205C8">
              <w:rPr>
                <w:rFonts w:ascii="Arial Narrow" w:hAnsi="Arial Narrow" w:cs="Arial"/>
              </w:rPr>
              <w:t>198</w:t>
            </w:r>
          </w:p>
        </w:tc>
      </w:tr>
      <w:tr w:rsidR="005E4265" w:rsidRPr="005A6BEE" w:rsidTr="002D2C0E">
        <w:trPr>
          <w:gridAfter w:val="5"/>
          <w:wAfter w:w="9101" w:type="dxa"/>
          <w:trHeight w:val="229"/>
        </w:trPr>
        <w:tc>
          <w:tcPr>
            <w:tcW w:w="709" w:type="dxa"/>
            <w:vAlign w:val="center"/>
          </w:tcPr>
          <w:p w:rsidR="005E4265" w:rsidRPr="005A6BEE" w:rsidRDefault="005E4265" w:rsidP="002D2C0E">
            <w:pPr>
              <w:tabs>
                <w:tab w:val="right" w:pos="3256"/>
              </w:tabs>
              <w:ind w:left="-108" w:right="-108"/>
              <w:rPr>
                <w:rFonts w:ascii="Arial Narrow" w:hAnsi="Arial Narrow" w:cs="Arial"/>
                <w:b/>
                <w:sz w:val="20"/>
                <w:szCs w:val="20"/>
                <w:lang w:val="en-US"/>
              </w:rPr>
            </w:pPr>
          </w:p>
        </w:tc>
      </w:tr>
      <w:tr w:rsidR="008F0D0D" w:rsidRPr="005A6BEE" w:rsidTr="002D2C0E">
        <w:tc>
          <w:tcPr>
            <w:tcW w:w="9810" w:type="dxa"/>
            <w:gridSpan w:val="6"/>
            <w:vAlign w:val="center"/>
          </w:tcPr>
          <w:p w:rsidR="008F0D0D" w:rsidRPr="005A6BEE" w:rsidRDefault="008F0D0D" w:rsidP="002D2C0E">
            <w:pPr>
              <w:rPr>
                <w:rFonts w:ascii="Arial Narrow" w:hAnsi="Arial Narrow" w:cs="Arial"/>
                <w:sz w:val="20"/>
                <w:szCs w:val="20"/>
                <w:lang w:val="en-US"/>
              </w:rPr>
            </w:pPr>
          </w:p>
        </w:tc>
      </w:tr>
    </w:tbl>
    <w:p w:rsidR="00044E81" w:rsidRDefault="00EC5D41" w:rsidP="00044E81">
      <w:pPr>
        <w:ind w:left="72" w:right="2595"/>
        <w:rPr>
          <w:rFonts w:ascii="Arial Narrow" w:hAnsi="Arial Narrow"/>
        </w:rPr>
      </w:pPr>
      <w:r w:rsidRPr="00AA36D6">
        <w:rPr>
          <w:rFonts w:ascii="Arial Narrow" w:hAnsi="Arial Narrow" w:cs="Arial"/>
          <w:b/>
        </w:rPr>
        <w:t xml:space="preserve">ΠΡΟΣ:  </w:t>
      </w:r>
      <w:r w:rsidR="00044E81" w:rsidRPr="00BF663D">
        <w:rPr>
          <w:rFonts w:ascii="Arial Narrow" w:hAnsi="Arial Narrow"/>
        </w:rPr>
        <w:t xml:space="preserve">Επιμελητήρια, Συνδέσμους και επιχειρηματικούς φορείς </w:t>
      </w:r>
    </w:p>
    <w:p w:rsidR="00044E81" w:rsidRDefault="00044E81" w:rsidP="00044E81">
      <w:pPr>
        <w:ind w:right="2595" w:firstLine="810"/>
        <w:rPr>
          <w:rFonts w:ascii="Arial Narrow" w:hAnsi="Arial Narrow"/>
        </w:rPr>
      </w:pPr>
      <w:r w:rsidRPr="00BF663D">
        <w:rPr>
          <w:rFonts w:ascii="Arial Narrow" w:hAnsi="Arial Narrow"/>
        </w:rPr>
        <w:t>στην Ελλάδα  (</w:t>
      </w:r>
      <w:r w:rsidRPr="00BF663D">
        <w:rPr>
          <w:rFonts w:ascii="Arial Narrow" w:hAnsi="Arial Narrow"/>
          <w:b/>
        </w:rPr>
        <w:t>μέσω ημών</w:t>
      </w:r>
      <w:r w:rsidRPr="00BF663D">
        <w:rPr>
          <w:rFonts w:ascii="Arial Narrow" w:hAnsi="Arial Narrow"/>
        </w:rPr>
        <w:t>)</w:t>
      </w:r>
    </w:p>
    <w:p w:rsidR="004F76B0" w:rsidRPr="00044E81" w:rsidRDefault="004F76B0" w:rsidP="00EC5D41">
      <w:pPr>
        <w:tabs>
          <w:tab w:val="left" w:pos="990"/>
        </w:tabs>
        <w:outlineLvl w:val="0"/>
        <w:rPr>
          <w:rFonts w:ascii="Arial Narrow" w:hAnsi="Arial Narrow" w:cs="Arial"/>
        </w:rPr>
      </w:pPr>
    </w:p>
    <w:p w:rsidR="004F76B0" w:rsidRPr="008D1E61" w:rsidRDefault="00EC5D41" w:rsidP="00044E81">
      <w:pPr>
        <w:tabs>
          <w:tab w:val="left" w:pos="810"/>
        </w:tabs>
        <w:outlineLvl w:val="0"/>
        <w:rPr>
          <w:rFonts w:ascii="Arial Narrow" w:hAnsi="Arial Narrow"/>
          <w:color w:val="000000"/>
        </w:rPr>
      </w:pPr>
      <w:bookmarkStart w:id="7" w:name="ΚΟΙΝΟΠΟΙΗΣΗ"/>
      <w:r w:rsidRPr="00AA36D6">
        <w:rPr>
          <w:rFonts w:ascii="Arial Narrow" w:hAnsi="Arial Narrow" w:cs="Arial"/>
          <w:b/>
        </w:rPr>
        <w:t>ΚΟΙΝ.:</w:t>
      </w:r>
      <w:bookmarkEnd w:id="7"/>
      <w:r w:rsidRPr="00AA36D6">
        <w:rPr>
          <w:rFonts w:ascii="Arial Narrow" w:hAnsi="Arial Narrow" w:cs="Arial"/>
          <w:b/>
        </w:rPr>
        <w:t xml:space="preserve"> </w:t>
      </w:r>
      <w:r w:rsidRPr="00AA36D6">
        <w:rPr>
          <w:rFonts w:ascii="Arial Narrow" w:hAnsi="Arial Narrow" w:cs="Arial"/>
        </w:rPr>
        <w:tab/>
      </w:r>
      <w:r w:rsidR="00044E81">
        <w:rPr>
          <w:rFonts w:ascii="Arial Narrow" w:hAnsi="Arial Narrow"/>
          <w:color w:val="000000"/>
        </w:rPr>
        <w:t>Υπουργείο Εξωτερικών</w:t>
      </w:r>
    </w:p>
    <w:p w:rsidR="004F76B0" w:rsidRPr="008D1E61" w:rsidRDefault="004F76B0" w:rsidP="00044E81">
      <w:pPr>
        <w:ind w:right="-108" w:firstLine="810"/>
        <w:rPr>
          <w:rFonts w:ascii="Arial Narrow" w:hAnsi="Arial Narrow"/>
          <w:color w:val="000000"/>
        </w:rPr>
      </w:pPr>
      <w:r w:rsidRPr="008D1E61">
        <w:rPr>
          <w:rFonts w:ascii="Arial Narrow" w:hAnsi="Arial Narrow"/>
          <w:color w:val="000000"/>
        </w:rPr>
        <w:t>-</w:t>
      </w:r>
      <w:r w:rsidR="00886D18">
        <w:rPr>
          <w:rFonts w:ascii="Arial Narrow" w:hAnsi="Arial Narrow"/>
          <w:color w:val="000000"/>
        </w:rPr>
        <w:t xml:space="preserve"> </w:t>
      </w:r>
      <w:r w:rsidRPr="008D1E61">
        <w:rPr>
          <w:rFonts w:ascii="Arial Narrow" w:hAnsi="Arial Narrow"/>
          <w:color w:val="000000"/>
        </w:rPr>
        <w:t>Διπλ</w:t>
      </w:r>
      <w:r w:rsidR="00886D18">
        <w:rPr>
          <w:rFonts w:ascii="Arial Narrow" w:hAnsi="Arial Narrow"/>
          <w:color w:val="000000"/>
        </w:rPr>
        <w:t>.</w:t>
      </w:r>
      <w:r w:rsidRPr="008D1E61">
        <w:rPr>
          <w:rFonts w:ascii="Arial Narrow" w:hAnsi="Arial Narrow"/>
          <w:color w:val="000000"/>
        </w:rPr>
        <w:t xml:space="preserve"> Γρ</w:t>
      </w:r>
      <w:r w:rsidR="00886D18">
        <w:rPr>
          <w:rFonts w:ascii="Arial Narrow" w:hAnsi="Arial Narrow"/>
          <w:color w:val="000000"/>
        </w:rPr>
        <w:t>.</w:t>
      </w:r>
      <w:r w:rsidRPr="008D1E61">
        <w:rPr>
          <w:rFonts w:ascii="Arial Narrow" w:hAnsi="Arial Narrow"/>
          <w:color w:val="000000"/>
        </w:rPr>
        <w:t xml:space="preserve"> κ. Αν</w:t>
      </w:r>
      <w:r w:rsidR="00886D18">
        <w:rPr>
          <w:rFonts w:ascii="Arial Narrow" w:hAnsi="Arial Narrow"/>
          <w:color w:val="000000"/>
        </w:rPr>
        <w:t>.</w:t>
      </w:r>
      <w:r w:rsidRPr="008D1E61">
        <w:rPr>
          <w:rFonts w:ascii="Arial Narrow" w:hAnsi="Arial Narrow"/>
          <w:color w:val="000000"/>
        </w:rPr>
        <w:t xml:space="preserve"> Υπουργού</w:t>
      </w:r>
    </w:p>
    <w:p w:rsidR="004F76B0" w:rsidRPr="008D1E61" w:rsidRDefault="004F76B0" w:rsidP="00044E81">
      <w:pPr>
        <w:ind w:right="-108" w:firstLine="810"/>
        <w:rPr>
          <w:rFonts w:ascii="Arial Narrow" w:hAnsi="Arial Narrow"/>
          <w:color w:val="000000"/>
        </w:rPr>
      </w:pPr>
      <w:r w:rsidRPr="008D1E61">
        <w:rPr>
          <w:rFonts w:ascii="Arial Narrow" w:hAnsi="Arial Narrow"/>
          <w:color w:val="000000"/>
        </w:rPr>
        <w:t>-</w:t>
      </w:r>
      <w:r w:rsidR="00886D18">
        <w:rPr>
          <w:rFonts w:ascii="Arial Narrow" w:hAnsi="Arial Narrow"/>
          <w:color w:val="000000"/>
        </w:rPr>
        <w:t xml:space="preserve"> </w:t>
      </w:r>
      <w:r w:rsidRPr="008D1E61">
        <w:rPr>
          <w:rFonts w:ascii="Arial Narrow" w:hAnsi="Arial Narrow"/>
          <w:color w:val="000000"/>
        </w:rPr>
        <w:t>Διπλ</w:t>
      </w:r>
      <w:r w:rsidR="00886D18">
        <w:rPr>
          <w:rFonts w:ascii="Arial Narrow" w:hAnsi="Arial Narrow"/>
          <w:color w:val="000000"/>
        </w:rPr>
        <w:t>.</w:t>
      </w:r>
      <w:r w:rsidRPr="008D1E61">
        <w:rPr>
          <w:rFonts w:ascii="Arial Narrow" w:hAnsi="Arial Narrow"/>
          <w:color w:val="000000"/>
        </w:rPr>
        <w:t xml:space="preserve"> Γρ</w:t>
      </w:r>
      <w:r w:rsidR="00886D18">
        <w:rPr>
          <w:rFonts w:ascii="Arial Narrow" w:hAnsi="Arial Narrow"/>
          <w:color w:val="000000"/>
        </w:rPr>
        <w:t>.</w:t>
      </w:r>
      <w:r w:rsidRPr="008D1E61">
        <w:rPr>
          <w:rFonts w:ascii="Arial Narrow" w:hAnsi="Arial Narrow"/>
          <w:color w:val="000000"/>
        </w:rPr>
        <w:t xml:space="preserve"> κ.κ. Υφυπουργών </w:t>
      </w:r>
      <w:r w:rsidR="003B04B2">
        <w:rPr>
          <w:rFonts w:ascii="Arial Narrow" w:hAnsi="Arial Narrow"/>
          <w:color w:val="000000"/>
        </w:rPr>
        <w:t xml:space="preserve"> </w:t>
      </w:r>
    </w:p>
    <w:p w:rsidR="004F76B0" w:rsidRPr="008D1E61" w:rsidRDefault="004F76B0" w:rsidP="00044E81">
      <w:pPr>
        <w:ind w:right="-108" w:firstLine="810"/>
        <w:rPr>
          <w:rFonts w:ascii="Arial Narrow" w:hAnsi="Arial Narrow"/>
          <w:color w:val="000000"/>
        </w:rPr>
      </w:pPr>
      <w:r w:rsidRPr="008D1E61">
        <w:rPr>
          <w:rFonts w:ascii="Arial Narrow" w:hAnsi="Arial Narrow"/>
          <w:color w:val="000000"/>
        </w:rPr>
        <w:t>-</w:t>
      </w:r>
      <w:r w:rsidR="00886D18">
        <w:rPr>
          <w:rFonts w:ascii="Arial Narrow" w:hAnsi="Arial Narrow"/>
          <w:color w:val="000000"/>
        </w:rPr>
        <w:t xml:space="preserve"> </w:t>
      </w:r>
      <w:r w:rsidRPr="008D1E61">
        <w:rPr>
          <w:rFonts w:ascii="Arial Narrow" w:hAnsi="Arial Narrow"/>
          <w:color w:val="000000"/>
        </w:rPr>
        <w:t>Γρ</w:t>
      </w:r>
      <w:r w:rsidR="00886D18">
        <w:rPr>
          <w:rFonts w:ascii="Arial Narrow" w:hAnsi="Arial Narrow"/>
          <w:color w:val="000000"/>
        </w:rPr>
        <w:t>.</w:t>
      </w:r>
      <w:r w:rsidRPr="008D1E61">
        <w:rPr>
          <w:rFonts w:ascii="Arial Narrow" w:hAnsi="Arial Narrow"/>
          <w:color w:val="000000"/>
        </w:rPr>
        <w:t xml:space="preserve"> κ. Γεν</w:t>
      </w:r>
      <w:r w:rsidR="00886D18">
        <w:rPr>
          <w:rFonts w:ascii="Arial Narrow" w:hAnsi="Arial Narrow"/>
          <w:color w:val="000000"/>
        </w:rPr>
        <w:t>.</w:t>
      </w:r>
      <w:r w:rsidRPr="008D1E61">
        <w:rPr>
          <w:rFonts w:ascii="Arial Narrow" w:hAnsi="Arial Narrow"/>
          <w:color w:val="000000"/>
        </w:rPr>
        <w:t xml:space="preserve"> Γραμματέα</w:t>
      </w:r>
    </w:p>
    <w:p w:rsidR="004F76B0" w:rsidRDefault="00886D18" w:rsidP="00044E81">
      <w:pPr>
        <w:ind w:right="-108" w:firstLine="810"/>
        <w:rPr>
          <w:rFonts w:ascii="Arial Narrow" w:hAnsi="Arial Narrow"/>
          <w:color w:val="000000"/>
        </w:rPr>
      </w:pPr>
      <w:r>
        <w:rPr>
          <w:rFonts w:ascii="Arial Narrow" w:hAnsi="Arial Narrow"/>
          <w:color w:val="000000"/>
        </w:rPr>
        <w:t xml:space="preserve"> </w:t>
      </w:r>
      <w:r w:rsidR="004F76B0" w:rsidRPr="008D1E61">
        <w:rPr>
          <w:rFonts w:ascii="Arial Narrow" w:hAnsi="Arial Narrow"/>
          <w:color w:val="000000"/>
        </w:rPr>
        <w:t>-Γρ</w:t>
      </w:r>
      <w:r>
        <w:rPr>
          <w:rFonts w:ascii="Arial Narrow" w:hAnsi="Arial Narrow"/>
          <w:color w:val="000000"/>
        </w:rPr>
        <w:t>.</w:t>
      </w:r>
      <w:r w:rsidR="004F76B0" w:rsidRPr="008D1E61">
        <w:rPr>
          <w:rFonts w:ascii="Arial Narrow" w:hAnsi="Arial Narrow"/>
          <w:color w:val="000000"/>
        </w:rPr>
        <w:t xml:space="preserve"> κ. Γεν</w:t>
      </w:r>
      <w:r>
        <w:rPr>
          <w:rFonts w:ascii="Arial Narrow" w:hAnsi="Arial Narrow"/>
          <w:color w:val="000000"/>
        </w:rPr>
        <w:t>.</w:t>
      </w:r>
      <w:r w:rsidR="004F76B0" w:rsidRPr="008D1E61">
        <w:rPr>
          <w:rFonts w:ascii="Arial Narrow" w:hAnsi="Arial Narrow"/>
          <w:color w:val="000000"/>
        </w:rPr>
        <w:t xml:space="preserve"> Γραμματέα ΔΟΣ &amp; Εξωστρέφειας </w:t>
      </w:r>
    </w:p>
    <w:p w:rsidR="004F76B0" w:rsidRDefault="004F76B0" w:rsidP="00044E81">
      <w:pPr>
        <w:ind w:right="-108" w:firstLine="810"/>
        <w:rPr>
          <w:rFonts w:ascii="Arial Narrow" w:hAnsi="Arial Narrow"/>
          <w:color w:val="000000"/>
          <w:lang w:val="en-US"/>
        </w:rPr>
      </w:pPr>
      <w:r w:rsidRPr="008D1E61">
        <w:rPr>
          <w:rFonts w:ascii="Arial Narrow" w:hAnsi="Arial Narrow"/>
          <w:color w:val="000000"/>
        </w:rPr>
        <w:t>-</w:t>
      </w:r>
      <w:r w:rsidR="00886D18">
        <w:rPr>
          <w:rFonts w:ascii="Arial Narrow" w:hAnsi="Arial Narrow"/>
          <w:color w:val="000000"/>
        </w:rPr>
        <w:t xml:space="preserve"> </w:t>
      </w:r>
      <w:r w:rsidR="007E6784">
        <w:rPr>
          <w:rFonts w:ascii="Arial Narrow" w:hAnsi="Arial Narrow"/>
          <w:color w:val="000000"/>
        </w:rPr>
        <w:t>Α΄ και</w:t>
      </w:r>
      <w:r>
        <w:rPr>
          <w:rFonts w:ascii="Arial Narrow" w:hAnsi="Arial Narrow"/>
          <w:color w:val="000000"/>
        </w:rPr>
        <w:t xml:space="preserve"> Β΄ Γεν</w:t>
      </w:r>
      <w:r w:rsidR="00886D18">
        <w:rPr>
          <w:rFonts w:ascii="Arial Narrow" w:hAnsi="Arial Narrow"/>
          <w:color w:val="000000"/>
        </w:rPr>
        <w:t>.</w:t>
      </w:r>
      <w:r>
        <w:rPr>
          <w:rFonts w:ascii="Arial Narrow" w:hAnsi="Arial Narrow"/>
          <w:color w:val="000000"/>
        </w:rPr>
        <w:t xml:space="preserve"> Δ</w:t>
      </w:r>
      <w:r w:rsidR="00886D18">
        <w:rPr>
          <w:rFonts w:ascii="Arial Narrow" w:hAnsi="Arial Narrow"/>
          <w:color w:val="000000"/>
        </w:rPr>
        <w:t>/νσεις</w:t>
      </w:r>
    </w:p>
    <w:p w:rsidR="00003063" w:rsidRPr="00003063" w:rsidRDefault="00003063" w:rsidP="00044E81">
      <w:pPr>
        <w:ind w:right="-108" w:firstLine="810"/>
        <w:rPr>
          <w:rFonts w:ascii="Arial Narrow" w:hAnsi="Arial Narrow"/>
          <w:color w:val="000000"/>
        </w:rPr>
      </w:pPr>
      <w:r>
        <w:rPr>
          <w:rFonts w:ascii="Arial Narrow" w:hAnsi="Arial Narrow"/>
          <w:color w:val="000000"/>
          <w:lang w:val="en-US"/>
        </w:rPr>
        <w:t xml:space="preserve">- </w:t>
      </w:r>
      <w:r>
        <w:rPr>
          <w:rFonts w:ascii="Arial Narrow" w:hAnsi="Arial Narrow"/>
          <w:color w:val="000000"/>
        </w:rPr>
        <w:t>Γεν. Δ/νση ΔΟΕΠ</w:t>
      </w:r>
    </w:p>
    <w:p w:rsidR="004F76B0" w:rsidRDefault="00886D18" w:rsidP="00044E81">
      <w:pPr>
        <w:ind w:right="-108" w:firstLine="810"/>
        <w:rPr>
          <w:rFonts w:ascii="Arial Narrow" w:hAnsi="Arial Narrow"/>
        </w:rPr>
      </w:pPr>
      <w:r>
        <w:rPr>
          <w:rFonts w:ascii="Arial Narrow" w:hAnsi="Arial Narrow"/>
          <w:color w:val="000000"/>
        </w:rPr>
        <w:t>-</w:t>
      </w:r>
      <w:r w:rsidR="004C7938">
        <w:rPr>
          <w:rFonts w:ascii="Arial Narrow" w:hAnsi="Arial Narrow"/>
          <w:color w:val="000000"/>
        </w:rPr>
        <w:t xml:space="preserve"> </w:t>
      </w:r>
      <w:r w:rsidR="004F76B0" w:rsidRPr="008D1E61">
        <w:rPr>
          <w:rFonts w:ascii="Arial Narrow" w:hAnsi="Arial Narrow"/>
          <w:color w:val="000000"/>
        </w:rPr>
        <w:t>Α13</w:t>
      </w:r>
      <w:r>
        <w:rPr>
          <w:rFonts w:ascii="Arial Narrow" w:hAnsi="Arial Narrow"/>
        </w:rPr>
        <w:t>,</w:t>
      </w:r>
      <w:r w:rsidR="004C7938">
        <w:rPr>
          <w:rFonts w:ascii="Arial Narrow" w:hAnsi="Arial Narrow"/>
        </w:rPr>
        <w:t xml:space="preserve"> </w:t>
      </w:r>
      <w:r w:rsidR="00044E81">
        <w:rPr>
          <w:rFonts w:ascii="Arial Narrow" w:hAnsi="Arial Narrow"/>
        </w:rPr>
        <w:t xml:space="preserve">Β1, Β4, </w:t>
      </w:r>
      <w:r w:rsidR="004F76B0" w:rsidRPr="008D1E61">
        <w:rPr>
          <w:rFonts w:ascii="Arial Narrow" w:hAnsi="Arial Narrow"/>
        </w:rPr>
        <w:t>Β8 Δ</w:t>
      </w:r>
      <w:r>
        <w:rPr>
          <w:rFonts w:ascii="Arial Narrow" w:hAnsi="Arial Narrow"/>
        </w:rPr>
        <w:t>/νσεις</w:t>
      </w:r>
    </w:p>
    <w:p w:rsidR="00044E81" w:rsidRDefault="00044E81" w:rsidP="00044E81">
      <w:pPr>
        <w:ind w:right="-108" w:firstLine="810"/>
        <w:rPr>
          <w:rFonts w:ascii="Arial Narrow" w:hAnsi="Arial Narrow"/>
        </w:rPr>
      </w:pPr>
    </w:p>
    <w:p w:rsidR="00EC5D41" w:rsidRDefault="004F76B0" w:rsidP="00044E81">
      <w:pPr>
        <w:tabs>
          <w:tab w:val="left" w:pos="810"/>
        </w:tabs>
        <w:outlineLvl w:val="0"/>
        <w:rPr>
          <w:rFonts w:ascii="Arial Narrow" w:hAnsi="Arial Narrow" w:cs="Arial"/>
        </w:rPr>
      </w:pPr>
      <w:r w:rsidRPr="001A2676">
        <w:rPr>
          <w:rFonts w:ascii="Arial Narrow" w:hAnsi="Arial Narrow" w:cs="Arial"/>
          <w:b/>
        </w:rPr>
        <w:t>Ε.Δ.:</w:t>
      </w:r>
      <w:r>
        <w:rPr>
          <w:rFonts w:ascii="Arial Narrow" w:hAnsi="Arial Narrow" w:cs="Arial"/>
        </w:rPr>
        <w:tab/>
      </w:r>
      <w:r w:rsidR="001A2676">
        <w:rPr>
          <w:rFonts w:ascii="Arial Narrow" w:hAnsi="Arial Narrow" w:cs="Arial"/>
        </w:rPr>
        <w:t xml:space="preserve">- </w:t>
      </w:r>
      <w:r w:rsidRPr="00CC68DA">
        <w:rPr>
          <w:rFonts w:ascii="Arial Narrow" w:hAnsi="Arial Narrow"/>
        </w:rPr>
        <w:t>Υπ’ όψιν κου Πρέσβεως</w:t>
      </w:r>
    </w:p>
    <w:p w:rsidR="00EC5D41" w:rsidRPr="002722AD" w:rsidRDefault="00EC5D41" w:rsidP="000F0564">
      <w:pPr>
        <w:tabs>
          <w:tab w:val="left" w:pos="959"/>
        </w:tabs>
        <w:ind w:left="108"/>
        <w:outlineLvl w:val="0"/>
        <w:rPr>
          <w:rFonts w:ascii="Arial Narrow" w:hAnsi="Arial Narrow" w:cs="Arial"/>
          <w:b/>
          <w:sz w:val="20"/>
          <w:szCs w:val="20"/>
        </w:rPr>
      </w:pPr>
      <w:bookmarkStart w:id="8" w:name="Ε_Δ"/>
      <w:bookmarkEnd w:id="8"/>
    </w:p>
    <w:tbl>
      <w:tblPr>
        <w:tblW w:w="0" w:type="auto"/>
        <w:tblLook w:val="04A0"/>
      </w:tblPr>
      <w:tblGrid>
        <w:gridCol w:w="918"/>
        <w:gridCol w:w="8820"/>
      </w:tblGrid>
      <w:tr w:rsidR="00815F6F" w:rsidRPr="00B90679" w:rsidTr="00B90679">
        <w:trPr>
          <w:trHeight w:val="224"/>
        </w:trPr>
        <w:tc>
          <w:tcPr>
            <w:tcW w:w="918" w:type="dxa"/>
          </w:tcPr>
          <w:p w:rsidR="00F241B2" w:rsidRPr="00EE3DF2" w:rsidRDefault="00815F6F" w:rsidP="008F0D0D">
            <w:pPr>
              <w:rPr>
                <w:rFonts w:ascii="Arial Narrow" w:hAnsi="Arial Narrow" w:cs="Arial"/>
                <w:b/>
                <w:lang w:val="en-US"/>
              </w:rPr>
            </w:pPr>
            <w:r w:rsidRPr="00B90679">
              <w:rPr>
                <w:rFonts w:ascii="Arial Narrow" w:hAnsi="Arial Narrow" w:cs="Arial"/>
                <w:b/>
              </w:rPr>
              <w:t>ΘΕΜΑ:</w:t>
            </w:r>
          </w:p>
        </w:tc>
        <w:tc>
          <w:tcPr>
            <w:tcW w:w="8820" w:type="dxa"/>
          </w:tcPr>
          <w:p w:rsidR="00682258" w:rsidRPr="00B90679" w:rsidRDefault="00044E81" w:rsidP="003205C8">
            <w:pPr>
              <w:jc w:val="both"/>
              <w:rPr>
                <w:rFonts w:ascii="Arial Narrow" w:hAnsi="Arial Narrow" w:cs="Arial"/>
              </w:rPr>
            </w:pPr>
            <w:r w:rsidRPr="00BF663D">
              <w:rPr>
                <w:rFonts w:ascii="Arial Narrow" w:hAnsi="Arial Narrow"/>
              </w:rPr>
              <w:t>Δελτίο «Οικονομία &amp; Εμπόριο στην Ουγγαρία», τεύχος Νο.</w:t>
            </w:r>
            <w:r w:rsidR="003205C8">
              <w:rPr>
                <w:rFonts w:ascii="Arial Narrow" w:hAnsi="Arial Narrow"/>
              </w:rPr>
              <w:t xml:space="preserve"> 1/2021</w:t>
            </w:r>
          </w:p>
        </w:tc>
      </w:tr>
    </w:tbl>
    <w:p w:rsidR="00EE3DF2" w:rsidRPr="00C75DAB" w:rsidRDefault="00EE3DF2" w:rsidP="00BA1B23">
      <w:pPr>
        <w:ind w:firstLine="708"/>
        <w:jc w:val="both"/>
        <w:rPr>
          <w:rFonts w:ascii="Arial Narrow" w:hAnsi="Arial Narrow" w:cs="Calibri"/>
        </w:rPr>
      </w:pPr>
    </w:p>
    <w:p w:rsidR="00044E81" w:rsidRPr="00044E81" w:rsidRDefault="00044E81" w:rsidP="00044E81">
      <w:pPr>
        <w:pStyle w:val="a9"/>
        <w:ind w:firstLine="720"/>
        <w:jc w:val="both"/>
        <w:rPr>
          <w:rFonts w:ascii="Arial Narrow" w:hAnsi="Arial Narrow"/>
        </w:rPr>
      </w:pPr>
      <w:r w:rsidRPr="00BF663D">
        <w:rPr>
          <w:rFonts w:ascii="Arial Narrow" w:hAnsi="Arial Narrow"/>
        </w:rPr>
        <w:t xml:space="preserve">Αποστέλλουμε, συνημμένως, το </w:t>
      </w:r>
      <w:r w:rsidRPr="00BF663D">
        <w:rPr>
          <w:rFonts w:ascii="Arial Narrow" w:hAnsi="Arial Narrow"/>
          <w:b/>
        </w:rPr>
        <w:t>τεύχος Νο.</w:t>
      </w:r>
      <w:r w:rsidR="003205C8">
        <w:rPr>
          <w:rFonts w:ascii="Arial Narrow" w:hAnsi="Arial Narrow"/>
          <w:b/>
        </w:rPr>
        <w:t>1</w:t>
      </w:r>
      <w:r w:rsidRPr="00BF663D">
        <w:rPr>
          <w:rFonts w:ascii="Arial Narrow" w:hAnsi="Arial Narrow"/>
          <w:lang w:val="hu-HU"/>
        </w:rPr>
        <w:t xml:space="preserve"> </w:t>
      </w:r>
      <w:r w:rsidRPr="00BF663D">
        <w:rPr>
          <w:rFonts w:ascii="Arial Narrow" w:hAnsi="Arial Narrow"/>
        </w:rPr>
        <w:t>(</w:t>
      </w:r>
      <w:r w:rsidR="003205C8">
        <w:rPr>
          <w:rFonts w:ascii="Arial Narrow" w:hAnsi="Arial Narrow"/>
        </w:rPr>
        <w:t>Ιανουάριος-Μάρτιος</w:t>
      </w:r>
      <w:r w:rsidRPr="00BF663D">
        <w:rPr>
          <w:rFonts w:ascii="Arial Narrow" w:hAnsi="Arial Narrow"/>
        </w:rPr>
        <w:t xml:space="preserve"> 20</w:t>
      </w:r>
      <w:r>
        <w:rPr>
          <w:rFonts w:ascii="Arial Narrow" w:hAnsi="Arial Narrow"/>
        </w:rPr>
        <w:t>2</w:t>
      </w:r>
      <w:r w:rsidR="003205C8">
        <w:rPr>
          <w:rFonts w:ascii="Arial Narrow" w:hAnsi="Arial Narrow"/>
        </w:rPr>
        <w:t>1</w:t>
      </w:r>
      <w:r w:rsidRPr="00BF663D">
        <w:rPr>
          <w:rFonts w:ascii="Arial Narrow" w:hAnsi="Arial Narrow"/>
        </w:rPr>
        <w:t xml:space="preserve">) του Δελτίου </w:t>
      </w:r>
      <w:r w:rsidRPr="00BF663D">
        <w:rPr>
          <w:rFonts w:ascii="Arial Narrow" w:hAnsi="Arial Narrow"/>
          <w:b/>
        </w:rPr>
        <w:t>«Οικονομία &amp; Εμπόριο στην Ουγγαρία»</w:t>
      </w:r>
      <w:r w:rsidRPr="00BF663D">
        <w:rPr>
          <w:rFonts w:ascii="Arial Narrow" w:hAnsi="Arial Narrow"/>
        </w:rPr>
        <w:t xml:space="preserve"> που επιμελείται το Γραφείο μας. Το συνημμένο Δελτίο περιλαμβάνει στοιχεία για την οικονομία της Ουγγαρίας, πρόσφατες εξελίξεις εμπορικού ενδιαφέροντος, διεθνείς συνεργασίες, διεθνείς εκθέσεις, προσφορές-ζητήσεις επιχειρηματικής συνεργασίας, ζητήσεις προϊόντων, κλπ. Τα Εμπορικά Επιμελητήρια και οι Επαγγελματικοί Σύνδεσμοι προς τους οποίους απευθύνεται το παρόν, παρακαλούνται να μεριμνήσουν για τη σχετική ενημέρωση των μελών τους και ενδεχομένως τη δημοσίευση των πληροφοριών στα  δελτία τους.</w:t>
      </w:r>
    </w:p>
    <w:p w:rsidR="00044E81" w:rsidRPr="00BF663D" w:rsidRDefault="00044E81" w:rsidP="00044E81">
      <w:pPr>
        <w:pStyle w:val="a9"/>
        <w:ind w:firstLine="720"/>
        <w:jc w:val="both"/>
        <w:rPr>
          <w:rFonts w:ascii="Arial Narrow" w:hAnsi="Arial Narrow"/>
        </w:rPr>
      </w:pPr>
      <w:r w:rsidRPr="00BF663D">
        <w:rPr>
          <w:rFonts w:ascii="Arial Narrow" w:hAnsi="Arial Narrow"/>
        </w:rPr>
        <w:t>Επισημαίνουμε, ότι τυχόν ενδιαφερόμενοι Έλληνες επιχειρηματίες για διεθνείς διαγωνισμούς, διεθνείς εκθέσεις και επιχειρηματικές συνεργασίες που αναφέρονται στο Δελτίο μας, παρακαλούνται όπως επικοινωνούν απευθείας με τους μνημονευόμενους, κατά περίπτωση, αρμοδίους, για περισσότερες πληροφορίες. Παράλληλα, μπορούν ασφαλώς να απευθύνονται και στο Γραφείο μας, το οποίο παραμένει στη διάθεσή τους για οποιαδήποτε επιπλέον πληροφορία που θα διευκόλυνε και θα ενίσχυε τις επιχειρηματικές τους προσπάθειες._</w:t>
      </w:r>
    </w:p>
    <w:p w:rsidR="00F621DF" w:rsidRPr="00F621DF" w:rsidRDefault="00F621DF" w:rsidP="008C7394">
      <w:pPr>
        <w:jc w:val="both"/>
        <w:rPr>
          <w:rFonts w:ascii="Arial Narrow" w:hAnsi="Arial Narrow"/>
        </w:rPr>
      </w:pPr>
    </w:p>
    <w:tbl>
      <w:tblPr>
        <w:tblW w:w="0" w:type="auto"/>
        <w:jc w:val="center"/>
        <w:tblInd w:w="-703" w:type="dxa"/>
        <w:tblLayout w:type="fixed"/>
        <w:tblLook w:val="01E0"/>
      </w:tblPr>
      <w:tblGrid>
        <w:gridCol w:w="5902"/>
        <w:gridCol w:w="3131"/>
      </w:tblGrid>
      <w:tr w:rsidR="008F0D0D" w:rsidRPr="00AA36D6" w:rsidTr="000F0564">
        <w:trPr>
          <w:trHeight w:val="288"/>
          <w:jc w:val="center"/>
        </w:trPr>
        <w:tc>
          <w:tcPr>
            <w:tcW w:w="5902" w:type="dxa"/>
          </w:tcPr>
          <w:p w:rsidR="008F0D0D" w:rsidRPr="003800BF" w:rsidRDefault="008F0D0D" w:rsidP="000F0564">
            <w:pPr>
              <w:rPr>
                <w:rFonts w:ascii="Arial Narrow" w:hAnsi="Arial Narrow" w:cs="Arial"/>
              </w:rPr>
            </w:pPr>
          </w:p>
        </w:tc>
        <w:tc>
          <w:tcPr>
            <w:tcW w:w="3131" w:type="dxa"/>
          </w:tcPr>
          <w:p w:rsidR="004F76B0" w:rsidRDefault="004F76B0" w:rsidP="004F76B0">
            <w:pPr>
              <w:jc w:val="center"/>
              <w:rPr>
                <w:rFonts w:ascii="Arial Narrow" w:hAnsi="Arial Narrow"/>
              </w:rPr>
            </w:pPr>
            <w:bookmarkStart w:id="9" w:name="ΥΠΟΓΡΑΦΗ"/>
            <w:r>
              <w:rPr>
                <w:rFonts w:ascii="Arial Narrow" w:hAnsi="Arial Narrow"/>
              </w:rPr>
              <w:t>Ο Προϊστάμενος</w:t>
            </w:r>
          </w:p>
          <w:p w:rsidR="00E47B37" w:rsidRDefault="00E47B37" w:rsidP="004F76B0">
            <w:pPr>
              <w:jc w:val="center"/>
              <w:rPr>
                <w:rFonts w:ascii="Arial Narrow" w:hAnsi="Arial Narrow"/>
              </w:rPr>
            </w:pPr>
          </w:p>
          <w:p w:rsidR="008C7394" w:rsidRDefault="008C7394" w:rsidP="004F76B0">
            <w:pPr>
              <w:jc w:val="center"/>
              <w:rPr>
                <w:rFonts w:ascii="Arial Narrow" w:hAnsi="Arial Narrow"/>
              </w:rPr>
            </w:pPr>
          </w:p>
          <w:p w:rsidR="00C04093" w:rsidRDefault="00C04093" w:rsidP="004F76B0">
            <w:pPr>
              <w:jc w:val="center"/>
              <w:rPr>
                <w:rFonts w:ascii="Arial Narrow" w:hAnsi="Arial Narrow"/>
              </w:rPr>
            </w:pPr>
          </w:p>
          <w:p w:rsidR="004F76B0" w:rsidRDefault="004F76B0" w:rsidP="004F76B0">
            <w:pPr>
              <w:jc w:val="center"/>
              <w:rPr>
                <w:rFonts w:ascii="Arial Narrow" w:hAnsi="Arial Narrow"/>
              </w:rPr>
            </w:pPr>
            <w:r>
              <w:rPr>
                <w:rFonts w:ascii="Arial Narrow" w:hAnsi="Arial Narrow"/>
              </w:rPr>
              <w:t>Γεώργιος Επ. Τοσούνης</w:t>
            </w:r>
          </w:p>
          <w:p w:rsidR="008F0D0D" w:rsidRPr="00AA36D6" w:rsidRDefault="004F76B0" w:rsidP="004F76B0">
            <w:pPr>
              <w:jc w:val="center"/>
              <w:rPr>
                <w:rFonts w:ascii="Arial Narrow" w:hAnsi="Arial Narrow" w:cs="Arial"/>
              </w:rPr>
            </w:pPr>
            <w:r>
              <w:rPr>
                <w:rFonts w:ascii="Arial Narrow" w:hAnsi="Arial Narrow"/>
              </w:rPr>
              <w:t>Σύμβουλος Ο.Ε.Υ. Α΄</w:t>
            </w:r>
            <w:bookmarkEnd w:id="9"/>
          </w:p>
        </w:tc>
      </w:tr>
    </w:tbl>
    <w:p w:rsidR="004C7938" w:rsidRDefault="004C7938" w:rsidP="004C7938">
      <w:pPr>
        <w:rPr>
          <w:rFonts w:ascii="Arial Narrow" w:hAnsi="Arial Narrow" w:cs="Arial"/>
        </w:rPr>
      </w:pPr>
      <w:bookmarkStart w:id="10" w:name="ΣΥΝΤΑΚΤΗΣ"/>
      <w:bookmarkStart w:id="11" w:name="ΣΥΝΗΜ_ΣΕΛ_1"/>
      <w:bookmarkEnd w:id="10"/>
      <w:bookmarkEnd w:id="11"/>
    </w:p>
    <w:p w:rsidR="008B01AD" w:rsidRDefault="008B01AD" w:rsidP="004C7938">
      <w:pPr>
        <w:rPr>
          <w:rFonts w:ascii="Arial Narrow" w:hAnsi="Arial Narrow" w:cs="Arial"/>
        </w:rPr>
      </w:pPr>
    </w:p>
    <w:p w:rsidR="008B01AD" w:rsidRDefault="008B01AD" w:rsidP="004C7938">
      <w:pPr>
        <w:rPr>
          <w:rFonts w:ascii="Arial Narrow" w:hAnsi="Arial Narrow" w:cs="Arial"/>
        </w:rPr>
      </w:pPr>
    </w:p>
    <w:p w:rsidR="008B01AD" w:rsidRDefault="008B01AD" w:rsidP="004C7938">
      <w:pPr>
        <w:rPr>
          <w:rFonts w:ascii="Arial Narrow" w:hAnsi="Arial Narrow" w:cs="Arial"/>
        </w:rPr>
      </w:pPr>
    </w:p>
    <w:p w:rsidR="008B01AD" w:rsidRPr="00E91A4B" w:rsidRDefault="008B01AD" w:rsidP="008B01AD">
      <w:pPr>
        <w:pStyle w:val="a9"/>
        <w:tabs>
          <w:tab w:val="center" w:pos="4860"/>
        </w:tabs>
        <w:jc w:val="center"/>
        <w:rPr>
          <w:rFonts w:ascii="Arial Narrow" w:hAnsi="Arial Narrow"/>
          <w:b/>
          <w:sz w:val="28"/>
          <w:u w:val="single"/>
        </w:rPr>
      </w:pPr>
      <w:r w:rsidRPr="00E91A4B">
        <w:rPr>
          <w:rFonts w:ascii="Arial Narrow" w:hAnsi="Arial Narrow"/>
          <w:b/>
          <w:sz w:val="28"/>
          <w:szCs w:val="28"/>
          <w:u w:val="single"/>
        </w:rPr>
        <w:t>ΔΕΛΤΙΟ</w:t>
      </w:r>
      <w:r w:rsidRPr="00E91A4B">
        <w:rPr>
          <w:rFonts w:ascii="Arial Narrow" w:hAnsi="Arial Narrow"/>
          <w:b/>
          <w:sz w:val="28"/>
          <w:u w:val="single"/>
        </w:rPr>
        <w:t xml:space="preserve"> </w:t>
      </w:r>
    </w:p>
    <w:p w:rsidR="008B01AD" w:rsidRPr="00E91A4B" w:rsidRDefault="008B01AD" w:rsidP="008B01AD">
      <w:pPr>
        <w:pStyle w:val="a9"/>
        <w:tabs>
          <w:tab w:val="center" w:pos="4860"/>
        </w:tabs>
        <w:jc w:val="center"/>
        <w:rPr>
          <w:rFonts w:ascii="Arial Narrow" w:hAnsi="Arial Narrow"/>
          <w:b/>
          <w:color w:val="3366FF"/>
          <w:sz w:val="28"/>
        </w:rPr>
      </w:pPr>
      <w:r w:rsidRPr="00E91A4B">
        <w:rPr>
          <w:rFonts w:ascii="Arial Narrow" w:hAnsi="Arial Narrow"/>
          <w:b/>
          <w:color w:val="3366FF"/>
          <w:sz w:val="28"/>
        </w:rPr>
        <w:t>«ΟΙΚΟΝΟΜΙΑ &amp; ΕΜΠΟΡΙΟ ΣΤΗΝ ΟΥΓΓΑΡΙΑ»</w:t>
      </w:r>
    </w:p>
    <w:p w:rsidR="008B01AD" w:rsidRDefault="008B01AD" w:rsidP="008B01AD">
      <w:pPr>
        <w:jc w:val="center"/>
        <w:rPr>
          <w:rFonts w:ascii="Arial Narrow" w:hAnsi="Arial Narrow" w:cs="Arial"/>
        </w:rPr>
      </w:pPr>
      <w:r w:rsidRPr="00E91A4B">
        <w:rPr>
          <w:rFonts w:ascii="Arial Narrow" w:hAnsi="Arial Narrow" w:cs="Arial"/>
          <w:u w:val="single"/>
        </w:rPr>
        <w:t>τεύχος Νο.</w:t>
      </w:r>
      <w:r w:rsidR="003205C8">
        <w:rPr>
          <w:rFonts w:ascii="Arial Narrow" w:hAnsi="Arial Narrow" w:cs="Arial"/>
          <w:u w:val="single"/>
        </w:rPr>
        <w:t>1</w:t>
      </w:r>
      <w:r w:rsidRPr="00B07597">
        <w:rPr>
          <w:rFonts w:ascii="Arial Narrow" w:hAnsi="Arial Narrow" w:cs="Arial"/>
        </w:rPr>
        <w:t xml:space="preserve"> </w:t>
      </w:r>
      <w:r w:rsidRPr="00E91A4B">
        <w:rPr>
          <w:rFonts w:ascii="Arial Narrow" w:hAnsi="Arial Narrow" w:cs="Arial"/>
        </w:rPr>
        <w:t>(</w:t>
      </w:r>
      <w:r w:rsidR="003205C8">
        <w:rPr>
          <w:rFonts w:ascii="Arial Narrow" w:hAnsi="Arial Narrow" w:cs="Arial"/>
        </w:rPr>
        <w:t>Ιανουάριος</w:t>
      </w:r>
      <w:r>
        <w:rPr>
          <w:rFonts w:ascii="Arial Narrow" w:hAnsi="Arial Narrow" w:cs="Arial"/>
        </w:rPr>
        <w:t>-</w:t>
      </w:r>
      <w:r w:rsidR="003205C8">
        <w:rPr>
          <w:rFonts w:ascii="Arial Narrow" w:hAnsi="Arial Narrow" w:cs="Arial"/>
        </w:rPr>
        <w:t>Μάρτιος</w:t>
      </w:r>
      <w:r w:rsidRPr="00E91A4B">
        <w:rPr>
          <w:rFonts w:ascii="Arial Narrow" w:hAnsi="Arial Narrow" w:cs="Arial"/>
        </w:rPr>
        <w:t xml:space="preserve"> 202</w:t>
      </w:r>
      <w:r w:rsidR="003205C8">
        <w:rPr>
          <w:rFonts w:ascii="Arial Narrow" w:hAnsi="Arial Narrow" w:cs="Arial"/>
        </w:rPr>
        <w:t>1</w:t>
      </w:r>
      <w:r w:rsidRPr="00E91A4B">
        <w:rPr>
          <w:rFonts w:ascii="Arial Narrow" w:hAnsi="Arial Narrow" w:cs="Arial"/>
        </w:rPr>
        <w:t>)</w:t>
      </w:r>
    </w:p>
    <w:p w:rsidR="008B01AD" w:rsidRDefault="008B01AD" w:rsidP="008B01AD">
      <w:pPr>
        <w:jc w:val="center"/>
        <w:rPr>
          <w:rFonts w:ascii="Arial Narrow" w:hAnsi="Arial Narrow" w:cs="Arial"/>
        </w:rPr>
      </w:pPr>
    </w:p>
    <w:p w:rsidR="008B01AD" w:rsidRDefault="003A0DFD" w:rsidP="008B01AD">
      <w:pPr>
        <w:jc w:val="center"/>
        <w:rPr>
          <w:rFonts w:ascii="Arial Narrow" w:hAnsi="Arial Narrow" w:cs="Arial"/>
        </w:rPr>
      </w:pPr>
      <w:r w:rsidRPr="009E1406">
        <w:rPr>
          <w:rFonts w:ascii="Arial Narrow" w:hAnsi="Arial Narrow" w:cs="Arial"/>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26.75pt;margin-top:3.2pt;width:460.9pt;height:58.75pt;z-index:251656704;mso-width-relative:margin;mso-height-relative:margin">
            <v:textbox>
              <w:txbxContent>
                <w:p w:rsidR="00104D75" w:rsidRPr="001E2395" w:rsidRDefault="00104D75" w:rsidP="008B01AD">
                  <w:pPr>
                    <w:rPr>
                      <w:b/>
                      <w:color w:val="FF0000"/>
                    </w:rPr>
                  </w:pPr>
                  <w:r w:rsidRPr="001E2395">
                    <w:rPr>
                      <w:b/>
                      <w:color w:val="FF0000"/>
                      <w:lang w:val="en-US"/>
                    </w:rPr>
                    <w:t>COVID</w:t>
                  </w:r>
                  <w:r w:rsidRPr="001E2395">
                    <w:rPr>
                      <w:b/>
                      <w:color w:val="FF0000"/>
                    </w:rPr>
                    <w:t>-19</w:t>
                  </w:r>
                </w:p>
                <w:p w:rsidR="00104D75" w:rsidRPr="001E2395" w:rsidRDefault="00104D75" w:rsidP="008B01AD">
                  <w:pPr>
                    <w:jc w:val="both"/>
                    <w:rPr>
                      <w:rFonts w:ascii="Arial Narrow" w:hAnsi="Arial Narrow" w:cs="Arial"/>
                      <w:i/>
                      <w:color w:val="E36C0A"/>
                    </w:rPr>
                  </w:pPr>
                  <w:r w:rsidRPr="001E2395">
                    <w:rPr>
                      <w:rFonts w:ascii="Arial Narrow" w:hAnsi="Arial Narrow"/>
                      <w:i/>
                    </w:rPr>
                    <w:t>Εξαιτίας της πανδημίας, η Ουγγαρία σ</w:t>
                  </w:r>
                  <w:r>
                    <w:rPr>
                      <w:rFonts w:ascii="Arial Narrow" w:hAnsi="Arial Narrow"/>
                      <w:i/>
                    </w:rPr>
                    <w:t>υνεχίζει να βρίσκεται σε κατάσταση έκτακτης ανάγκης. Πε</w:t>
                  </w:r>
                  <w:r w:rsidRPr="001E2395">
                    <w:rPr>
                      <w:rFonts w:ascii="Arial Narrow" w:hAnsi="Arial Narrow" w:cs="Calibri"/>
                      <w:i/>
                    </w:rPr>
                    <w:t>ρι</w:t>
                  </w:r>
                  <w:r>
                    <w:rPr>
                      <w:rFonts w:ascii="Arial Narrow" w:hAnsi="Arial Narrow" w:cs="Calibri"/>
                      <w:i/>
                    </w:rPr>
                    <w:t>ορι</w:t>
                  </w:r>
                  <w:r w:rsidRPr="001E2395">
                    <w:rPr>
                      <w:rFonts w:ascii="Arial Narrow" w:hAnsi="Arial Narrow" w:cs="Calibri"/>
                      <w:i/>
                    </w:rPr>
                    <w:t xml:space="preserve">στικά μέτρα για την αντιμετώπιση της πανδημίας συνεχίζουν να </w:t>
                  </w:r>
                  <w:r>
                    <w:rPr>
                      <w:rFonts w:ascii="Arial Narrow" w:hAnsi="Arial Narrow" w:cs="Calibri"/>
                      <w:i/>
                    </w:rPr>
                    <w:t>είναι σε ισχύ</w:t>
                  </w:r>
                  <w:r w:rsidRPr="001E2395">
                    <w:rPr>
                      <w:rFonts w:ascii="Arial Narrow" w:hAnsi="Arial Narrow" w:cs="Calibri"/>
                      <w:i/>
                    </w:rPr>
                    <w:t>.</w:t>
                  </w:r>
                </w:p>
                <w:p w:rsidR="00104D75" w:rsidRPr="009E1406" w:rsidRDefault="00104D75" w:rsidP="008B01AD"/>
              </w:txbxContent>
            </v:textbox>
          </v:shape>
        </w:pict>
      </w:r>
    </w:p>
    <w:p w:rsidR="008B01AD" w:rsidRDefault="008B01AD" w:rsidP="008B01AD">
      <w:pPr>
        <w:jc w:val="center"/>
        <w:rPr>
          <w:rFonts w:ascii="Arial Narrow" w:hAnsi="Arial Narrow" w:cs="Arial"/>
        </w:rPr>
      </w:pPr>
    </w:p>
    <w:p w:rsidR="008B01AD" w:rsidRDefault="008B01AD" w:rsidP="008B01AD">
      <w:pPr>
        <w:jc w:val="center"/>
        <w:rPr>
          <w:rFonts w:ascii="Arial Narrow" w:hAnsi="Arial Narrow" w:cs="Arial"/>
        </w:rPr>
      </w:pPr>
    </w:p>
    <w:p w:rsidR="008B01AD" w:rsidRDefault="008B01AD" w:rsidP="008B01AD">
      <w:pPr>
        <w:jc w:val="center"/>
        <w:rPr>
          <w:rFonts w:ascii="Arial Narrow" w:hAnsi="Arial Narrow" w:cs="Arial"/>
        </w:rPr>
      </w:pPr>
    </w:p>
    <w:p w:rsidR="008B01AD" w:rsidRDefault="008B01AD" w:rsidP="008B01AD">
      <w:pPr>
        <w:jc w:val="center"/>
        <w:rPr>
          <w:rFonts w:ascii="Arial Narrow" w:hAnsi="Arial Narrow" w:cs="Arial"/>
        </w:rPr>
      </w:pPr>
    </w:p>
    <w:p w:rsidR="003A0DFD" w:rsidRDefault="003A0DFD" w:rsidP="008B01AD">
      <w:pPr>
        <w:jc w:val="center"/>
        <w:rPr>
          <w:rFonts w:ascii="Arial Narrow" w:hAnsi="Arial Narrow" w:cs="Arial"/>
        </w:rPr>
      </w:pPr>
    </w:p>
    <w:p w:rsidR="008B01AD" w:rsidRPr="00A85411" w:rsidRDefault="008B01AD" w:rsidP="00A85411">
      <w:pPr>
        <w:pStyle w:val="4"/>
        <w:rPr>
          <w:rFonts w:ascii="Arial Narrow" w:hAnsi="Arial Narrow"/>
          <w:color w:val="548DD4"/>
        </w:rPr>
      </w:pPr>
      <w:r w:rsidRPr="00E91A4B">
        <w:rPr>
          <w:rFonts w:ascii="Arial Narrow" w:hAnsi="Arial Narrow"/>
          <w:color w:val="548DD4"/>
        </w:rPr>
        <w:t xml:space="preserve">Ι. </w:t>
      </w:r>
      <w:r w:rsidRPr="00E91A4B">
        <w:rPr>
          <w:rFonts w:ascii="Arial Narrow" w:hAnsi="Arial Narrow"/>
          <w:color w:val="548DD4"/>
        </w:rPr>
        <w:tab/>
      </w:r>
      <w:r w:rsidRPr="00E91A4B">
        <w:rPr>
          <w:rFonts w:ascii="Arial Narrow" w:hAnsi="Arial Narrow"/>
          <w:color w:val="548DD4"/>
          <w:u w:val="single"/>
        </w:rPr>
        <w:t>Η οικονομία της Ουγγαρίας</w:t>
      </w:r>
      <w:r w:rsidRPr="00E91A4B">
        <w:rPr>
          <w:rFonts w:ascii="Arial Narrow" w:hAnsi="Arial Narrow"/>
          <w:color w:val="548DD4"/>
        </w:rPr>
        <w:t xml:space="preserve"> </w:t>
      </w:r>
    </w:p>
    <w:p w:rsidR="00DB674C" w:rsidRPr="0030599E" w:rsidRDefault="003016AA" w:rsidP="00DF5A3A">
      <w:pPr>
        <w:tabs>
          <w:tab w:val="num" w:pos="180"/>
        </w:tabs>
        <w:ind w:firstLine="720"/>
        <w:contextualSpacing/>
        <w:jc w:val="both"/>
        <w:rPr>
          <w:rFonts w:ascii="Arial Narrow" w:hAnsi="Arial Narrow"/>
        </w:rPr>
      </w:pPr>
      <w:r>
        <w:rPr>
          <w:rFonts w:ascii="Arial Narrow" w:hAnsi="Arial Narrow"/>
        </w:rPr>
        <w:t xml:space="preserve">- </w:t>
      </w:r>
      <w:r w:rsidR="0030599E">
        <w:rPr>
          <w:rFonts w:ascii="Arial Narrow" w:hAnsi="Arial Narrow"/>
        </w:rPr>
        <w:t>Προβλέψεις Κεντρικής Τράπεζας για τελική διαμόρφωση οικονομικών δεικτών έτους 2020</w:t>
      </w:r>
    </w:p>
    <w:p w:rsidR="003A0DFD" w:rsidRDefault="00590DC1" w:rsidP="008B01AD">
      <w:pPr>
        <w:tabs>
          <w:tab w:val="num" w:pos="180"/>
        </w:tabs>
        <w:ind w:firstLine="720"/>
        <w:contextualSpacing/>
        <w:jc w:val="both"/>
        <w:rPr>
          <w:rFonts w:ascii="Arial Narrow" w:hAnsi="Arial Narrow"/>
        </w:rPr>
      </w:pPr>
      <w:r>
        <w:rPr>
          <w:rFonts w:ascii="Arial Narrow" w:hAnsi="Arial Narrow"/>
        </w:rPr>
        <w:t>- Μείωση της ανεργίας τον Νοέμβριο</w:t>
      </w:r>
      <w:r w:rsidR="002578AD">
        <w:rPr>
          <w:rFonts w:ascii="Arial Narrow" w:hAnsi="Arial Narrow"/>
        </w:rPr>
        <w:t xml:space="preserve"> αλλά αύξηση τον Δεκέμβριο</w:t>
      </w:r>
      <w:r>
        <w:rPr>
          <w:rFonts w:ascii="Arial Narrow" w:hAnsi="Arial Narrow"/>
        </w:rPr>
        <w:t xml:space="preserve"> 2020</w:t>
      </w:r>
    </w:p>
    <w:p w:rsidR="00794A2E" w:rsidRDefault="00CC44F6" w:rsidP="008B01AD">
      <w:pPr>
        <w:tabs>
          <w:tab w:val="num" w:pos="180"/>
        </w:tabs>
        <w:ind w:firstLine="720"/>
        <w:contextualSpacing/>
        <w:jc w:val="both"/>
        <w:rPr>
          <w:rFonts w:ascii="Arial Narrow" w:hAnsi="Arial Narrow"/>
        </w:rPr>
      </w:pPr>
      <w:r>
        <w:rPr>
          <w:rFonts w:ascii="Arial Narrow" w:hAnsi="Arial Narrow"/>
        </w:rPr>
        <w:t xml:space="preserve">- </w:t>
      </w:r>
      <w:r w:rsidRPr="00E82C3A">
        <w:rPr>
          <w:rFonts w:ascii="Arial Narrow" w:hAnsi="Arial Narrow"/>
        </w:rPr>
        <w:t xml:space="preserve">Αύξηση των μισθών </w:t>
      </w:r>
      <w:r>
        <w:rPr>
          <w:rFonts w:ascii="Arial Narrow" w:hAnsi="Arial Narrow"/>
        </w:rPr>
        <w:t xml:space="preserve">τον Οκτώβριο </w:t>
      </w:r>
      <w:r w:rsidR="003904E5">
        <w:rPr>
          <w:rFonts w:ascii="Arial Narrow" w:hAnsi="Arial Narrow"/>
        </w:rPr>
        <w:t xml:space="preserve">και Δεκέμβριο </w:t>
      </w:r>
      <w:r>
        <w:rPr>
          <w:rFonts w:ascii="Arial Narrow" w:hAnsi="Arial Narrow"/>
        </w:rPr>
        <w:t>2020</w:t>
      </w:r>
      <w:r w:rsidR="00794A2E" w:rsidRPr="00794A2E">
        <w:rPr>
          <w:rFonts w:ascii="Arial Narrow" w:hAnsi="Arial Narrow"/>
        </w:rPr>
        <w:t xml:space="preserve"> </w:t>
      </w:r>
    </w:p>
    <w:p w:rsidR="00CC44F6" w:rsidRDefault="00794A2E" w:rsidP="008B01AD">
      <w:pPr>
        <w:tabs>
          <w:tab w:val="num" w:pos="180"/>
        </w:tabs>
        <w:ind w:firstLine="720"/>
        <w:contextualSpacing/>
        <w:jc w:val="both"/>
        <w:rPr>
          <w:rFonts w:ascii="Arial Narrow" w:hAnsi="Arial Narrow"/>
        </w:rPr>
      </w:pPr>
      <w:r>
        <w:rPr>
          <w:rFonts w:ascii="Arial Narrow" w:hAnsi="Arial Narrow"/>
        </w:rPr>
        <w:t>- Δάνειο της Ευρωπαϊκής Τράπεζας Επενδύσεων για αναθέρμανση της ουγγρικής οικονομίας</w:t>
      </w:r>
    </w:p>
    <w:p w:rsidR="00986284" w:rsidRDefault="00986284" w:rsidP="008B01AD">
      <w:pPr>
        <w:tabs>
          <w:tab w:val="num" w:pos="180"/>
        </w:tabs>
        <w:ind w:firstLine="720"/>
        <w:contextualSpacing/>
        <w:jc w:val="both"/>
        <w:rPr>
          <w:rFonts w:ascii="Arial Narrow" w:hAnsi="Arial Narrow"/>
        </w:rPr>
      </w:pPr>
      <w:r>
        <w:rPr>
          <w:rFonts w:ascii="Arial Narrow" w:hAnsi="Arial Narrow"/>
        </w:rPr>
        <w:t>- Αύξηση του κρατικού χρέους της Ουγγαρίας</w:t>
      </w:r>
    </w:p>
    <w:p w:rsidR="00B23120" w:rsidRDefault="00B23120" w:rsidP="00B23120">
      <w:pPr>
        <w:tabs>
          <w:tab w:val="num" w:pos="180"/>
        </w:tabs>
        <w:ind w:firstLine="720"/>
        <w:contextualSpacing/>
        <w:jc w:val="both"/>
        <w:rPr>
          <w:rFonts w:ascii="Arial Narrow" w:hAnsi="Arial Narrow"/>
        </w:rPr>
      </w:pPr>
      <w:r>
        <w:rPr>
          <w:rFonts w:ascii="Arial Narrow" w:hAnsi="Arial Narrow"/>
        </w:rPr>
        <w:t>- Προβλέψεις Κεντρικής Τράπεζας για το 2021</w:t>
      </w:r>
    </w:p>
    <w:p w:rsidR="00912E8F" w:rsidRDefault="00912E8F" w:rsidP="00912E8F">
      <w:pPr>
        <w:tabs>
          <w:tab w:val="num" w:pos="180"/>
        </w:tabs>
        <w:ind w:firstLine="720"/>
        <w:contextualSpacing/>
        <w:jc w:val="both"/>
        <w:rPr>
          <w:rFonts w:ascii="Arial Narrow" w:hAnsi="Arial Narrow"/>
          <w:lang w:val="en-US"/>
        </w:rPr>
      </w:pPr>
      <w:r>
        <w:rPr>
          <w:rFonts w:ascii="Arial Narrow" w:hAnsi="Arial Narrow"/>
        </w:rPr>
        <w:t>- Σταθερός ο πληθωρισμός τον Ιανουάριο 2021</w:t>
      </w:r>
    </w:p>
    <w:p w:rsidR="00980398" w:rsidRDefault="00980398" w:rsidP="00912E8F">
      <w:pPr>
        <w:tabs>
          <w:tab w:val="num" w:pos="180"/>
        </w:tabs>
        <w:ind w:firstLine="720"/>
        <w:contextualSpacing/>
        <w:jc w:val="both"/>
        <w:rPr>
          <w:rFonts w:ascii="Arial Narrow" w:hAnsi="Arial Narrow"/>
        </w:rPr>
      </w:pPr>
      <w:r w:rsidRPr="00980398">
        <w:rPr>
          <w:rFonts w:ascii="Arial Narrow" w:hAnsi="Arial Narrow"/>
        </w:rPr>
        <w:t xml:space="preserve">- </w:t>
      </w:r>
      <w:r>
        <w:rPr>
          <w:rFonts w:ascii="Arial Narrow" w:hAnsi="Arial Narrow"/>
        </w:rPr>
        <w:t>Αξιολόγηση ουγγρικής οικονομίας από «</w:t>
      </w:r>
      <w:r w:rsidRPr="00A3120F">
        <w:rPr>
          <w:rFonts w:ascii="Arial Narrow" w:hAnsi="Arial Narrow"/>
        </w:rPr>
        <w:t>Fitch Ratings</w:t>
      </w:r>
      <w:r>
        <w:rPr>
          <w:rFonts w:ascii="Arial Narrow" w:hAnsi="Arial Narrow"/>
        </w:rPr>
        <w:t>»</w:t>
      </w:r>
      <w:r w:rsidRPr="00A3120F">
        <w:rPr>
          <w:rFonts w:ascii="Arial Narrow" w:hAnsi="Arial Narrow"/>
        </w:rPr>
        <w:t xml:space="preserve"> </w:t>
      </w:r>
      <w:r>
        <w:rPr>
          <w:rFonts w:ascii="Arial Narrow" w:hAnsi="Arial Narrow"/>
        </w:rPr>
        <w:t>και</w:t>
      </w:r>
      <w:r w:rsidRPr="00A3120F">
        <w:rPr>
          <w:rFonts w:ascii="Arial Narrow" w:hAnsi="Arial Narrow"/>
        </w:rPr>
        <w:t xml:space="preserve"> </w:t>
      </w:r>
      <w:r>
        <w:rPr>
          <w:rFonts w:ascii="Arial Narrow" w:hAnsi="Arial Narrow"/>
        </w:rPr>
        <w:t>«</w:t>
      </w:r>
      <w:r w:rsidRPr="00A3120F">
        <w:rPr>
          <w:rFonts w:ascii="Arial Narrow" w:hAnsi="Arial Narrow"/>
        </w:rPr>
        <w:t>Standard &amp; Poor's</w:t>
      </w:r>
      <w:r>
        <w:rPr>
          <w:rFonts w:ascii="Arial Narrow" w:hAnsi="Arial Narrow"/>
        </w:rPr>
        <w:t>»</w:t>
      </w:r>
    </w:p>
    <w:p w:rsidR="006A68C1" w:rsidRPr="00980398" w:rsidRDefault="006A68C1" w:rsidP="00912E8F">
      <w:pPr>
        <w:tabs>
          <w:tab w:val="num" w:pos="180"/>
        </w:tabs>
        <w:ind w:firstLine="720"/>
        <w:contextualSpacing/>
        <w:jc w:val="both"/>
        <w:rPr>
          <w:rFonts w:ascii="Arial Narrow" w:hAnsi="Arial Narrow"/>
        </w:rPr>
      </w:pPr>
      <w:r>
        <w:rPr>
          <w:rFonts w:ascii="Arial Narrow" w:hAnsi="Arial Narrow"/>
        </w:rPr>
        <w:t>- Η Κεντρική Τράπεζα διατηρεί σταθερό το βασικό επιτόκιο</w:t>
      </w:r>
    </w:p>
    <w:p w:rsidR="00912E8F" w:rsidRDefault="00912E8F" w:rsidP="00B23120">
      <w:pPr>
        <w:tabs>
          <w:tab w:val="num" w:pos="180"/>
        </w:tabs>
        <w:ind w:firstLine="720"/>
        <w:contextualSpacing/>
        <w:jc w:val="both"/>
        <w:rPr>
          <w:rFonts w:ascii="Arial Narrow" w:hAnsi="Arial Narrow"/>
        </w:rPr>
      </w:pPr>
    </w:p>
    <w:p w:rsidR="008B01AD" w:rsidRPr="00E91A4B" w:rsidRDefault="008B01AD" w:rsidP="008B01AD">
      <w:pPr>
        <w:pStyle w:val="4"/>
        <w:rPr>
          <w:rFonts w:ascii="Arial Narrow" w:hAnsi="Arial Narrow"/>
          <w:color w:val="548DD4"/>
          <w:u w:val="single"/>
        </w:rPr>
      </w:pPr>
      <w:r w:rsidRPr="00E91A4B">
        <w:rPr>
          <w:rFonts w:ascii="Arial Narrow" w:hAnsi="Arial Narrow"/>
          <w:color w:val="548DD4"/>
        </w:rPr>
        <w:t>ΙΙ.</w:t>
      </w:r>
      <w:r w:rsidRPr="00E91A4B">
        <w:rPr>
          <w:rFonts w:ascii="Arial Narrow" w:hAnsi="Arial Narrow"/>
          <w:color w:val="548DD4"/>
        </w:rPr>
        <w:tab/>
      </w:r>
      <w:r w:rsidRPr="00E91A4B">
        <w:rPr>
          <w:rFonts w:ascii="Arial Narrow" w:hAnsi="Arial Narrow"/>
          <w:color w:val="548DD4"/>
          <w:u w:val="single"/>
        </w:rPr>
        <w:t>Επιχειρηματικές – Εμπορικές Ειδήσεις</w:t>
      </w:r>
    </w:p>
    <w:p w:rsidR="008B01AD" w:rsidRPr="00DF5A3A" w:rsidRDefault="008B01AD" w:rsidP="00DF5A3A">
      <w:pPr>
        <w:pStyle w:val="aa"/>
        <w:rPr>
          <w:rFonts w:ascii="Arial Narrow" w:hAnsi="Arial Narrow"/>
          <w:b/>
          <w:color w:val="3366FF"/>
        </w:rPr>
      </w:pPr>
      <w:r w:rsidRPr="00E91A4B">
        <w:rPr>
          <w:rFonts w:ascii="Arial Narrow" w:hAnsi="Arial Narrow"/>
          <w:b/>
          <w:color w:val="3366FF"/>
        </w:rPr>
        <w:t>Α. Γενικές Ειδήσεις</w:t>
      </w:r>
    </w:p>
    <w:p w:rsidR="0003519B" w:rsidRDefault="008B01AD" w:rsidP="00DF5A3A">
      <w:pPr>
        <w:ind w:firstLine="720"/>
        <w:contextualSpacing/>
        <w:jc w:val="both"/>
        <w:rPr>
          <w:rFonts w:ascii="Arial Narrow" w:hAnsi="Arial Narrow"/>
        </w:rPr>
      </w:pPr>
      <w:r>
        <w:rPr>
          <w:rFonts w:ascii="Arial Narrow" w:hAnsi="Arial Narrow"/>
        </w:rPr>
        <w:t xml:space="preserve">- </w:t>
      </w:r>
      <w:r w:rsidR="00DF5A3A" w:rsidRPr="00DF5A3A">
        <w:rPr>
          <w:rFonts w:ascii="Arial Narrow" w:hAnsi="Arial Narrow"/>
        </w:rPr>
        <w:t>Στήριξη του τουριστικού τομέα</w:t>
      </w:r>
    </w:p>
    <w:p w:rsidR="009E3B95" w:rsidRDefault="009E3B95" w:rsidP="00DF5A3A">
      <w:pPr>
        <w:ind w:firstLine="720"/>
        <w:contextualSpacing/>
        <w:jc w:val="both"/>
        <w:rPr>
          <w:rFonts w:ascii="Arial Narrow" w:hAnsi="Arial Narrow"/>
        </w:rPr>
      </w:pPr>
      <w:r>
        <w:rPr>
          <w:rFonts w:ascii="Arial Narrow" w:hAnsi="Arial Narrow"/>
        </w:rPr>
        <w:t>- Ενίσχυση επενδύσεων</w:t>
      </w:r>
    </w:p>
    <w:p w:rsidR="003A0DFD" w:rsidRDefault="00794A2E" w:rsidP="00D35E88">
      <w:pPr>
        <w:ind w:firstLine="720"/>
        <w:contextualSpacing/>
        <w:jc w:val="both"/>
        <w:rPr>
          <w:rFonts w:ascii="Arial Narrow" w:hAnsi="Arial Narrow"/>
        </w:rPr>
      </w:pPr>
      <w:r>
        <w:rPr>
          <w:rFonts w:ascii="Arial Narrow" w:hAnsi="Arial Narrow"/>
        </w:rPr>
        <w:t xml:space="preserve">- </w:t>
      </w:r>
      <w:r w:rsidR="00A01C65" w:rsidRPr="00A01C65">
        <w:rPr>
          <w:rFonts w:ascii="Arial Narrow" w:hAnsi="Arial Narrow"/>
        </w:rPr>
        <w:t>Επανεμφάνιση της γρίπης των πτηνών στην Ουγγαρία</w:t>
      </w:r>
    </w:p>
    <w:p w:rsidR="00794A2E" w:rsidRDefault="009B03DC" w:rsidP="00D35E88">
      <w:pPr>
        <w:ind w:firstLine="720"/>
        <w:contextualSpacing/>
        <w:jc w:val="both"/>
        <w:rPr>
          <w:rFonts w:ascii="Arial Narrow" w:hAnsi="Arial Narrow"/>
        </w:rPr>
      </w:pPr>
      <w:r>
        <w:rPr>
          <w:rFonts w:ascii="Arial Narrow" w:hAnsi="Arial Narrow"/>
        </w:rPr>
        <w:t>- Ενίσχυση προγράμματος αγροτικής ανάπτυξης</w:t>
      </w:r>
    </w:p>
    <w:p w:rsidR="0063758A" w:rsidRDefault="0063758A" w:rsidP="00D35E88">
      <w:pPr>
        <w:ind w:firstLine="720"/>
        <w:contextualSpacing/>
        <w:jc w:val="both"/>
        <w:rPr>
          <w:rFonts w:ascii="Arial Narrow" w:hAnsi="Arial Narrow"/>
        </w:rPr>
      </w:pPr>
      <w:r>
        <w:rPr>
          <w:rFonts w:ascii="Arial Narrow" w:hAnsi="Arial Narrow"/>
        </w:rPr>
        <w:t>- Μείωση του τζίρου στο Χρηματιστήριο Βουδαπέστης</w:t>
      </w:r>
    </w:p>
    <w:p w:rsidR="00794A2E" w:rsidRPr="003A0DFD" w:rsidRDefault="00794A2E" w:rsidP="00D35E88">
      <w:pPr>
        <w:ind w:firstLine="720"/>
        <w:contextualSpacing/>
        <w:jc w:val="both"/>
        <w:rPr>
          <w:rFonts w:ascii="Arial Narrow" w:hAnsi="Arial Narrow"/>
        </w:rPr>
      </w:pPr>
    </w:p>
    <w:p w:rsidR="008B01AD" w:rsidRPr="00FC31F1" w:rsidRDefault="008B01AD" w:rsidP="00FC31F1">
      <w:pPr>
        <w:tabs>
          <w:tab w:val="num" w:pos="90"/>
        </w:tabs>
        <w:ind w:firstLine="720"/>
        <w:jc w:val="both"/>
        <w:rPr>
          <w:rFonts w:ascii="Arial Narrow" w:hAnsi="Arial Narrow"/>
          <w:b/>
          <w:color w:val="3366FF"/>
        </w:rPr>
      </w:pPr>
      <w:r w:rsidRPr="00E91A4B">
        <w:rPr>
          <w:rFonts w:ascii="Arial Narrow" w:hAnsi="Arial Narrow"/>
          <w:b/>
          <w:color w:val="3366FF"/>
        </w:rPr>
        <w:t xml:space="preserve">Β. Διεθνείς Συμφωνίες – Συνεργασίες – Διαγωνισμοί </w:t>
      </w:r>
    </w:p>
    <w:p w:rsidR="003C5A3E" w:rsidRDefault="001B300C" w:rsidP="00DF5A3A">
      <w:pPr>
        <w:ind w:left="720"/>
        <w:jc w:val="both"/>
        <w:rPr>
          <w:rFonts w:ascii="Arial Narrow" w:hAnsi="Arial Narrow" w:cs="Arial"/>
          <w:sz w:val="23"/>
          <w:szCs w:val="23"/>
        </w:rPr>
      </w:pPr>
      <w:r>
        <w:rPr>
          <w:rFonts w:ascii="Arial Narrow" w:hAnsi="Arial Narrow" w:cs="Arial"/>
          <w:sz w:val="23"/>
          <w:szCs w:val="23"/>
        </w:rPr>
        <w:t xml:space="preserve">- </w:t>
      </w:r>
      <w:r w:rsidR="0099736B">
        <w:rPr>
          <w:rFonts w:ascii="Arial Narrow" w:hAnsi="Arial Narrow"/>
        </w:rPr>
        <w:t>Υγροποιημένο φυσικό αέριο μέσω Κροατίας</w:t>
      </w:r>
    </w:p>
    <w:p w:rsidR="003A0DFD" w:rsidRDefault="00F613E8" w:rsidP="008B01AD">
      <w:pPr>
        <w:ind w:left="720"/>
        <w:jc w:val="both"/>
        <w:rPr>
          <w:rFonts w:ascii="Arial Narrow" w:hAnsi="Arial Narrow"/>
        </w:rPr>
      </w:pPr>
      <w:r w:rsidRPr="00F613E8">
        <w:rPr>
          <w:rFonts w:ascii="Arial Narrow" w:hAnsi="Arial Narrow"/>
        </w:rPr>
        <w:t>- Νέο ομόλογο της Διεθνούς Τράπεζας Επενδύσεων (ΙΙΒ)</w:t>
      </w:r>
    </w:p>
    <w:p w:rsidR="00B065D8" w:rsidRDefault="00B065D8" w:rsidP="008B01AD">
      <w:pPr>
        <w:ind w:left="720"/>
        <w:jc w:val="both"/>
        <w:rPr>
          <w:rFonts w:ascii="Arial Narrow" w:hAnsi="Arial Narrow"/>
        </w:rPr>
      </w:pPr>
      <w:r>
        <w:rPr>
          <w:rFonts w:ascii="Arial Narrow" w:hAnsi="Arial Narrow"/>
        </w:rPr>
        <w:t xml:space="preserve">- </w:t>
      </w:r>
      <w:r>
        <w:rPr>
          <w:rFonts w:ascii="Arial Narrow" w:hAnsi="Arial Narrow"/>
          <w:lang w:val="hu-HU"/>
        </w:rPr>
        <w:t xml:space="preserve">H </w:t>
      </w:r>
      <w:r>
        <w:rPr>
          <w:rFonts w:ascii="Arial Narrow" w:hAnsi="Arial Narrow"/>
        </w:rPr>
        <w:t>Ουγγαρία</w:t>
      </w:r>
      <w:r>
        <w:rPr>
          <w:rFonts w:ascii="Arial Narrow" w:hAnsi="Arial Narrow"/>
          <w:lang w:val="hu-HU"/>
        </w:rPr>
        <w:t xml:space="preserve"> </w:t>
      </w:r>
      <w:r>
        <w:rPr>
          <w:rFonts w:ascii="Arial Narrow" w:hAnsi="Arial Narrow"/>
        </w:rPr>
        <w:t>λαμβάνει χρηματική ενίσχυση  από την ΕΕ, λόγω έκτακτης ανάγκης</w:t>
      </w:r>
    </w:p>
    <w:p w:rsidR="001F5A00" w:rsidRDefault="001F5A00" w:rsidP="008B01AD">
      <w:pPr>
        <w:ind w:left="720"/>
        <w:jc w:val="both"/>
        <w:rPr>
          <w:rFonts w:ascii="Arial Narrow" w:hAnsi="Arial Narrow"/>
        </w:rPr>
      </w:pPr>
      <w:r>
        <w:rPr>
          <w:rFonts w:ascii="Arial Narrow" w:hAnsi="Arial Narrow"/>
        </w:rPr>
        <w:t xml:space="preserve">- </w:t>
      </w:r>
      <w:r w:rsidRPr="001F5A00">
        <w:rPr>
          <w:rFonts w:ascii="Arial Narrow" w:hAnsi="Arial Narrow"/>
        </w:rPr>
        <w:t>Δηλώσεις Υπουργού Εξωτερικών &amp; Εμπορίου για Νότιο Διάδρομο Φυσικού Αερίου</w:t>
      </w:r>
    </w:p>
    <w:p w:rsidR="00490543" w:rsidRDefault="00490543" w:rsidP="008B01AD">
      <w:pPr>
        <w:ind w:left="720"/>
        <w:jc w:val="both"/>
        <w:rPr>
          <w:rFonts w:ascii="Arial Narrow" w:hAnsi="Arial Narrow"/>
        </w:rPr>
      </w:pPr>
      <w:r>
        <w:rPr>
          <w:rFonts w:ascii="Arial Narrow" w:hAnsi="Arial Narrow"/>
        </w:rPr>
        <w:t xml:space="preserve">- </w:t>
      </w:r>
      <w:r w:rsidRPr="00490543">
        <w:rPr>
          <w:rFonts w:ascii="Arial Narrow" w:hAnsi="Arial Narrow"/>
        </w:rPr>
        <w:t>Πρωτοβουλία Τριών Θαλασσών (TSI)</w:t>
      </w:r>
    </w:p>
    <w:p w:rsidR="00A542CF" w:rsidRDefault="00A542CF" w:rsidP="008B01AD">
      <w:pPr>
        <w:ind w:left="720"/>
        <w:jc w:val="both"/>
        <w:rPr>
          <w:rFonts w:ascii="Arial Narrow" w:hAnsi="Arial Narrow"/>
        </w:rPr>
      </w:pPr>
      <w:r>
        <w:rPr>
          <w:rFonts w:ascii="Arial Narrow" w:hAnsi="Arial Narrow"/>
        </w:rPr>
        <w:t>- Το Αγροτικό Επιμελητήριο Ουγγαρίας τάσσεται εναντίον της Συμφωνίας Εμπορίου ΕΕ-</w:t>
      </w:r>
      <w:r>
        <w:rPr>
          <w:rFonts w:ascii="Arial Narrow" w:hAnsi="Arial Narrow"/>
          <w:lang w:val="en-US"/>
        </w:rPr>
        <w:t>Mercosur</w:t>
      </w:r>
      <w:r>
        <w:rPr>
          <w:rFonts w:ascii="Arial Narrow" w:hAnsi="Arial Narrow"/>
        </w:rPr>
        <w:t xml:space="preserve"> </w:t>
      </w:r>
    </w:p>
    <w:p w:rsidR="00B247B9" w:rsidRPr="00F613E8" w:rsidRDefault="00B247B9" w:rsidP="008B01AD">
      <w:pPr>
        <w:ind w:left="720"/>
        <w:jc w:val="both"/>
        <w:rPr>
          <w:rFonts w:ascii="Arial Narrow" w:hAnsi="Arial Narrow"/>
        </w:rPr>
      </w:pPr>
    </w:p>
    <w:p w:rsidR="008B01AD" w:rsidRDefault="008B01AD" w:rsidP="008B01AD">
      <w:pPr>
        <w:pStyle w:val="4"/>
        <w:rPr>
          <w:rFonts w:ascii="Arial Narrow" w:hAnsi="Arial Narrow"/>
          <w:color w:val="548DD4"/>
          <w:u w:val="single"/>
        </w:rPr>
      </w:pPr>
      <w:r w:rsidRPr="00E91A4B">
        <w:rPr>
          <w:rFonts w:ascii="Arial Narrow" w:hAnsi="Arial Narrow"/>
          <w:color w:val="548DD4"/>
        </w:rPr>
        <w:t>ΙΙΙ.</w:t>
      </w:r>
      <w:r w:rsidRPr="00E91A4B">
        <w:rPr>
          <w:rFonts w:ascii="Arial Narrow" w:hAnsi="Arial Narrow"/>
          <w:color w:val="548DD4"/>
        </w:rPr>
        <w:tab/>
      </w:r>
      <w:r w:rsidRPr="00E91A4B">
        <w:rPr>
          <w:rFonts w:ascii="Arial Narrow" w:hAnsi="Arial Narrow"/>
          <w:color w:val="548DD4"/>
          <w:u w:val="single"/>
        </w:rPr>
        <w:t>Διεθνείς Εκθέσεις</w:t>
      </w:r>
    </w:p>
    <w:p w:rsidR="008B01AD" w:rsidRPr="00087A8E" w:rsidRDefault="008B01AD" w:rsidP="008B01AD"/>
    <w:p w:rsidR="008B01AD" w:rsidRDefault="008B01AD" w:rsidP="008B01AD">
      <w:pPr>
        <w:jc w:val="center"/>
      </w:pPr>
    </w:p>
    <w:p w:rsidR="003A0DFD" w:rsidRDefault="003A0DFD" w:rsidP="008B01AD">
      <w:pPr>
        <w:jc w:val="center"/>
        <w:rPr>
          <w:rFonts w:ascii="Arial Narrow" w:hAnsi="Arial Narrow"/>
        </w:rPr>
      </w:pPr>
    </w:p>
    <w:p w:rsidR="003A0DFD" w:rsidRDefault="003A0DFD" w:rsidP="008B01AD">
      <w:pPr>
        <w:jc w:val="center"/>
        <w:rPr>
          <w:rFonts w:ascii="Arial Narrow" w:hAnsi="Arial Narrow"/>
        </w:rPr>
      </w:pPr>
    </w:p>
    <w:p w:rsidR="003A0DFD" w:rsidRDefault="003A0DFD" w:rsidP="008B01AD">
      <w:pPr>
        <w:jc w:val="center"/>
        <w:rPr>
          <w:rFonts w:ascii="Arial Narrow" w:hAnsi="Arial Narrow"/>
        </w:rPr>
      </w:pPr>
    </w:p>
    <w:p w:rsidR="00B247B9" w:rsidRDefault="00B247B9" w:rsidP="008B01AD">
      <w:pPr>
        <w:jc w:val="center"/>
        <w:rPr>
          <w:rFonts w:ascii="Arial Narrow" w:hAnsi="Arial Narrow"/>
        </w:rPr>
      </w:pPr>
    </w:p>
    <w:p w:rsidR="00B247B9" w:rsidRDefault="00B247B9" w:rsidP="008B01AD">
      <w:pPr>
        <w:jc w:val="center"/>
        <w:rPr>
          <w:rFonts w:ascii="Arial Narrow" w:hAnsi="Arial Narrow"/>
        </w:rPr>
      </w:pPr>
    </w:p>
    <w:p w:rsidR="00B247B9" w:rsidRDefault="00B247B9" w:rsidP="008B01AD">
      <w:pPr>
        <w:jc w:val="center"/>
        <w:rPr>
          <w:rFonts w:ascii="Arial Narrow" w:hAnsi="Arial Narrow"/>
        </w:rPr>
      </w:pPr>
    </w:p>
    <w:p w:rsidR="003A0DFD" w:rsidRDefault="003A0DFD" w:rsidP="008B01AD">
      <w:pPr>
        <w:jc w:val="center"/>
        <w:rPr>
          <w:rFonts w:ascii="Arial Narrow" w:hAnsi="Arial Narrow"/>
        </w:rPr>
      </w:pPr>
    </w:p>
    <w:p w:rsidR="008B01AD" w:rsidRDefault="008B01AD" w:rsidP="008B01AD">
      <w:pPr>
        <w:jc w:val="center"/>
        <w:rPr>
          <w:rFonts w:ascii="Arial Narrow" w:hAnsi="Arial Narrow"/>
        </w:rPr>
      </w:pPr>
      <w:r w:rsidRPr="00E91A4B">
        <w:rPr>
          <w:rFonts w:ascii="Arial Narrow" w:hAnsi="Arial Narrow"/>
        </w:rPr>
        <w:t>(Σύνταξη – Επιμέλεια : ΓΕΩΡΓΙΟΣ ΕΠ. ΤΟΣΟΥΝΗΣ, Σύμβουλος ΟΕΥ Α΄)</w:t>
      </w: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I</w:t>
      </w: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Η Οικονομία της Ουγγαρίας</w:t>
      </w:r>
    </w:p>
    <w:p w:rsidR="008B01AD" w:rsidRDefault="008B01AD" w:rsidP="008B01AD">
      <w:pPr>
        <w:jc w:val="both"/>
        <w:rPr>
          <w:rFonts w:ascii="Arial Narrow" w:hAnsi="Arial Narrow"/>
        </w:rPr>
      </w:pPr>
    </w:p>
    <w:p w:rsidR="0030599E" w:rsidRDefault="0030599E" w:rsidP="008B01AD">
      <w:pPr>
        <w:jc w:val="both"/>
        <w:rPr>
          <w:rFonts w:ascii="Arial Narrow" w:hAnsi="Arial Narrow" w:cs="Calibri"/>
        </w:rPr>
      </w:pPr>
    </w:p>
    <w:p w:rsidR="0030599E" w:rsidRPr="0030599E" w:rsidRDefault="0030599E" w:rsidP="0030599E">
      <w:pPr>
        <w:numPr>
          <w:ilvl w:val="0"/>
          <w:numId w:val="3"/>
        </w:numPr>
        <w:tabs>
          <w:tab w:val="num" w:pos="180"/>
        </w:tabs>
        <w:ind w:left="0" w:firstLine="0"/>
        <w:jc w:val="both"/>
        <w:rPr>
          <w:rFonts w:ascii="Arial Narrow" w:hAnsi="Arial Narrow"/>
          <w:u w:val="single"/>
        </w:rPr>
      </w:pPr>
      <w:r w:rsidRPr="0030599E">
        <w:rPr>
          <w:rFonts w:ascii="Arial Narrow" w:hAnsi="Arial Narrow"/>
          <w:u w:val="single"/>
        </w:rPr>
        <w:t>Προβλέψεις Κεντρικής Τράπεζας για τελική διαμόρφωση οικονομικών δεικτών έτους 2020</w:t>
      </w:r>
    </w:p>
    <w:p w:rsidR="0030599E" w:rsidRPr="0030599E" w:rsidRDefault="0030599E" w:rsidP="0030599E">
      <w:pPr>
        <w:jc w:val="both"/>
        <w:rPr>
          <w:rFonts w:ascii="Arial Narrow" w:hAnsi="Arial Narrow" w:cs="Calibri"/>
        </w:rPr>
      </w:pPr>
      <w:r w:rsidRPr="0030599E">
        <w:rPr>
          <w:rFonts w:ascii="Arial Narrow" w:hAnsi="Arial Narrow" w:cs="Calibri"/>
        </w:rPr>
        <w:t xml:space="preserve">Σύμφωνα με πρόσφατη ανακοίνωση της Κεντρικής Τράπεζας Ουγγαρίας (ΜΝΒ), η οικονομία της χώρας, εκτιμάται ότι θα συρρικνωθεί, τελικά, κατά 6,0-6,5 % το 2020. Η προηγούμενη πρόβλεψη της ΜΝΒ έκανε λόγο για συρρίκνωση μεταξύ 5,1-6,8%. Από πλευράς του, το Υπουργείο Οικονομικών, εκτιμά ότι το ΑΕΠ της χώρας θα μειωθεί κατά 6,4%. Αναφορικά με τον ετήσιο πληθωρισμό για το 2020, η ΜΝΒ τον υπολογίζει σε 3,4%. </w:t>
      </w:r>
    </w:p>
    <w:p w:rsidR="0030599E" w:rsidRDefault="0030599E" w:rsidP="0030599E">
      <w:pPr>
        <w:jc w:val="both"/>
        <w:rPr>
          <w:rFonts w:ascii="Arial Narrow" w:hAnsi="Arial Narrow" w:cs="Calibri"/>
        </w:rPr>
      </w:pPr>
      <w:r w:rsidRPr="0030599E">
        <w:rPr>
          <w:rFonts w:ascii="Arial Narrow" w:hAnsi="Arial Narrow" w:cs="Calibri"/>
        </w:rPr>
        <w:t>Για το 2021, η ΜΝΒ προβλέπει ότι η οικονομία θα αναπτυχθεί με ρυθμό που θα κυμαίνεται μεταξύ 3,5-6,0% και για το 2022 προβλέπει ότι ο ρυθμός θα αυξηθεί σε 5,0-5,5%. Όσο για το 2023, οι προβλέψεις της Κεντρικής Τράπεζας για τον ρυθμό ανάπτυξης της ουγγρικής οικονομίας, είναι χαμηλότερες μεταξύ 3,0-3,5%.  Όσον αφορά στον πληθωρισμό, η ΜΝΒ προβλέπει ότι αυτός θα κυμανθεί μεταξύ 3,5-3,6% το 2021, ότι θα μειωθεί σε 2,9-3,0% το 2022 και θα ισορροπήσει στο 3,0% το 2023 (που αποτελεί και τον μεσοπρόθεσμο στόχο της Τράπεζας).</w:t>
      </w:r>
    </w:p>
    <w:p w:rsidR="00590DC1" w:rsidRDefault="00590DC1" w:rsidP="0030599E">
      <w:pPr>
        <w:jc w:val="both"/>
        <w:rPr>
          <w:rFonts w:ascii="Arial Narrow" w:hAnsi="Arial Narrow" w:cs="Calibri"/>
        </w:rPr>
      </w:pPr>
    </w:p>
    <w:p w:rsidR="00590DC1" w:rsidRPr="00590DC1" w:rsidRDefault="00590DC1" w:rsidP="00590DC1">
      <w:pPr>
        <w:numPr>
          <w:ilvl w:val="0"/>
          <w:numId w:val="3"/>
        </w:numPr>
        <w:tabs>
          <w:tab w:val="num" w:pos="180"/>
        </w:tabs>
        <w:ind w:left="0" w:firstLine="0"/>
        <w:jc w:val="both"/>
        <w:rPr>
          <w:rFonts w:ascii="Arial Narrow" w:hAnsi="Arial Narrow"/>
          <w:u w:val="single"/>
        </w:rPr>
      </w:pPr>
      <w:r w:rsidRPr="00590DC1">
        <w:rPr>
          <w:rFonts w:ascii="Arial Narrow" w:hAnsi="Arial Narrow"/>
          <w:u w:val="single"/>
        </w:rPr>
        <w:t>Μείωση της ανεργίας τον Νοέμβριο</w:t>
      </w:r>
      <w:r w:rsidR="002578AD">
        <w:rPr>
          <w:rFonts w:ascii="Arial Narrow" w:hAnsi="Arial Narrow"/>
          <w:u w:val="single"/>
        </w:rPr>
        <w:t>, αλλά αύξηση τον Δεκέμβριο</w:t>
      </w:r>
      <w:r w:rsidRPr="00590DC1">
        <w:rPr>
          <w:rFonts w:ascii="Arial Narrow" w:hAnsi="Arial Narrow"/>
          <w:u w:val="single"/>
        </w:rPr>
        <w:t xml:space="preserve"> 2020</w:t>
      </w:r>
    </w:p>
    <w:p w:rsidR="00590DC1" w:rsidRDefault="00590DC1" w:rsidP="00590DC1">
      <w:pPr>
        <w:jc w:val="both"/>
        <w:rPr>
          <w:rFonts w:ascii="Arial Narrow" w:hAnsi="Arial Narrow" w:cs="Calibri"/>
        </w:rPr>
      </w:pPr>
      <w:r>
        <w:rPr>
          <w:rFonts w:ascii="Arial Narrow" w:hAnsi="Arial Narrow" w:cs="Calibri"/>
        </w:rPr>
        <w:t xml:space="preserve">Σύμφωνα με στοιχεία της Εθνικής Στατιστικής Υπηρεσίας Ουγγαρίας, ο δείκτης ανεργίας στη χώρα τον Νοέμβριο 2020, διαμορφώθηκε στο 4,1% (από 4,3% τον Οκτώβριο) με τους ανέργους να μειώνονται σε 190.000 (από 199.000 τον Οκτώβριο). Αξίζει να σημειωθεί ότι το τρίμηνο Σεπτεμβρίου-Νοεμβρίου, ο δείκτης ανεργίας διαμορφώθηκε στο 4,4%, αυξημένος σε σχέση την αντίστοιχη περίοδο του 2019 (3,5%). Ο αριθμός των απασχολούμενων (4,496 εκ.) εμφανίζεται αυξημένος σε σχέση με τον αντίστοιχο μήνα του 2019 (4.451 εκ.). </w:t>
      </w:r>
      <w:r w:rsidRPr="00590DC1">
        <w:rPr>
          <w:rFonts w:ascii="Arial Narrow" w:hAnsi="Arial Narrow" w:cs="Calibri"/>
        </w:rPr>
        <w:t>Ο μέσος χρόνος που κάποιος παραμένει άνεργος, διαμορφώθηκε στους 11,5 μήνες, ενώ 32,8% των ανέργων αναζητούσε εργασία για διάστημα μεγαλύτερο του ενός έτους. Για τον ίδιο μήνα (Νοέμβριο), ο αριθμός των εργαζομένων σε δημόσια προγράμματα απασχόλησης μειώθηκε σε 90.600 (από 112.100). Μείωση υπέστη και ο αριθμός των Ούγγρων εργαζομένων στο εξωτερικό από 120.300 σε 93.200.</w:t>
      </w:r>
    </w:p>
    <w:p w:rsidR="00590DC1" w:rsidRDefault="00590DC1" w:rsidP="00590DC1">
      <w:pPr>
        <w:jc w:val="both"/>
        <w:rPr>
          <w:rFonts w:ascii="Arial Narrow" w:hAnsi="Arial Narrow" w:cs="Calibri"/>
        </w:rPr>
      </w:pPr>
      <w:r w:rsidRPr="00590DC1">
        <w:rPr>
          <w:rFonts w:ascii="Arial Narrow" w:hAnsi="Arial Narrow" w:cs="Calibri"/>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1350"/>
        <w:gridCol w:w="1710"/>
        <w:gridCol w:w="1350"/>
        <w:gridCol w:w="1620"/>
      </w:tblGrid>
      <w:tr w:rsidR="00590DC1" w:rsidRPr="00DE157C" w:rsidTr="00CD65D4">
        <w:trPr>
          <w:jc w:val="center"/>
        </w:trPr>
        <w:tc>
          <w:tcPr>
            <w:tcW w:w="7578" w:type="dxa"/>
            <w:gridSpan w:val="5"/>
          </w:tcPr>
          <w:p w:rsidR="00590DC1" w:rsidRPr="00DE157C" w:rsidRDefault="00590DC1" w:rsidP="002578AD">
            <w:pPr>
              <w:jc w:val="center"/>
              <w:rPr>
                <w:rFonts w:ascii="Arial Narrow" w:hAnsi="Arial Narrow"/>
              </w:rPr>
            </w:pPr>
            <w:r w:rsidRPr="00DE157C">
              <w:rPr>
                <w:rFonts w:ascii="Arial Narrow" w:hAnsi="Arial Narrow"/>
              </w:rPr>
              <w:t>Α</w:t>
            </w:r>
            <w:r>
              <w:rPr>
                <w:rFonts w:ascii="Arial Narrow" w:hAnsi="Arial Narrow"/>
              </w:rPr>
              <w:t xml:space="preserve">νεργία τριμήνου Σεπτεμβρίου-Οκτωβρίου-Νοεμβρίου </w:t>
            </w:r>
            <w:r w:rsidR="002578AD">
              <w:rPr>
                <w:rFonts w:ascii="Arial Narrow" w:hAnsi="Arial Narrow"/>
              </w:rPr>
              <w:t>2020</w:t>
            </w:r>
          </w:p>
        </w:tc>
      </w:tr>
      <w:tr w:rsidR="00590DC1" w:rsidRPr="00DE157C" w:rsidTr="00CD65D4">
        <w:trPr>
          <w:jc w:val="center"/>
        </w:trPr>
        <w:tc>
          <w:tcPr>
            <w:tcW w:w="1548" w:type="dxa"/>
          </w:tcPr>
          <w:p w:rsidR="00590DC1" w:rsidRPr="00DE157C" w:rsidRDefault="00590DC1" w:rsidP="00CD65D4">
            <w:pPr>
              <w:jc w:val="center"/>
              <w:rPr>
                <w:rFonts w:ascii="Arial Narrow" w:hAnsi="Arial Narrow"/>
                <w:b/>
              </w:rPr>
            </w:pPr>
          </w:p>
        </w:tc>
        <w:tc>
          <w:tcPr>
            <w:tcW w:w="3060" w:type="dxa"/>
            <w:gridSpan w:val="2"/>
          </w:tcPr>
          <w:p w:rsidR="00590DC1" w:rsidRPr="00DE157C" w:rsidRDefault="00590DC1" w:rsidP="00CD65D4">
            <w:pPr>
              <w:jc w:val="center"/>
              <w:rPr>
                <w:rFonts w:ascii="Arial Narrow" w:hAnsi="Arial Narrow"/>
                <w:b/>
              </w:rPr>
            </w:pPr>
            <w:r>
              <w:rPr>
                <w:rFonts w:ascii="Arial Narrow" w:hAnsi="Arial Narrow"/>
                <w:b/>
              </w:rPr>
              <w:t>Αριθμός ανέργων</w:t>
            </w:r>
          </w:p>
        </w:tc>
        <w:tc>
          <w:tcPr>
            <w:tcW w:w="2970" w:type="dxa"/>
            <w:gridSpan w:val="2"/>
          </w:tcPr>
          <w:p w:rsidR="00590DC1" w:rsidRPr="00DE157C" w:rsidRDefault="00590DC1" w:rsidP="00CD65D4">
            <w:pPr>
              <w:jc w:val="center"/>
              <w:rPr>
                <w:rFonts w:ascii="Arial Narrow" w:hAnsi="Arial Narrow"/>
                <w:b/>
              </w:rPr>
            </w:pPr>
            <w:r>
              <w:rPr>
                <w:rFonts w:ascii="Arial Narrow" w:hAnsi="Arial Narrow"/>
                <w:b/>
              </w:rPr>
              <w:t>Ποσοστό ανεργίας %</w:t>
            </w:r>
          </w:p>
        </w:tc>
      </w:tr>
      <w:tr w:rsidR="00590DC1" w:rsidRPr="00DE157C" w:rsidTr="00CD65D4">
        <w:trPr>
          <w:jc w:val="center"/>
        </w:trPr>
        <w:tc>
          <w:tcPr>
            <w:tcW w:w="1548" w:type="dxa"/>
          </w:tcPr>
          <w:p w:rsidR="00590DC1" w:rsidRPr="00DE157C" w:rsidRDefault="00590DC1" w:rsidP="00CD65D4">
            <w:pPr>
              <w:jc w:val="center"/>
              <w:rPr>
                <w:rFonts w:ascii="Arial Narrow" w:hAnsi="Arial Narrow"/>
              </w:rPr>
            </w:pPr>
            <w:r w:rsidRPr="00DE157C">
              <w:rPr>
                <w:rFonts w:ascii="Arial Narrow" w:hAnsi="Arial Narrow"/>
                <w:b/>
              </w:rPr>
              <w:t>Ηλικία</w:t>
            </w:r>
          </w:p>
        </w:tc>
        <w:tc>
          <w:tcPr>
            <w:tcW w:w="1350" w:type="dxa"/>
          </w:tcPr>
          <w:p w:rsidR="00590DC1" w:rsidRPr="00DE157C" w:rsidRDefault="00590DC1" w:rsidP="00CD65D4">
            <w:pPr>
              <w:jc w:val="center"/>
              <w:rPr>
                <w:rFonts w:ascii="Arial Narrow" w:hAnsi="Arial Narrow"/>
              </w:rPr>
            </w:pPr>
            <w:r>
              <w:rPr>
                <w:rFonts w:ascii="Arial Narrow" w:hAnsi="Arial Narrow"/>
              </w:rPr>
              <w:t>2020</w:t>
            </w:r>
          </w:p>
        </w:tc>
        <w:tc>
          <w:tcPr>
            <w:tcW w:w="1710" w:type="dxa"/>
          </w:tcPr>
          <w:p w:rsidR="00590DC1" w:rsidRPr="00DE157C" w:rsidRDefault="00590DC1" w:rsidP="00CD65D4">
            <w:pPr>
              <w:jc w:val="center"/>
              <w:rPr>
                <w:rFonts w:ascii="Arial Narrow" w:hAnsi="Arial Narrow"/>
              </w:rPr>
            </w:pPr>
            <w:r>
              <w:rPr>
                <w:rFonts w:ascii="Arial Narrow" w:hAnsi="Arial Narrow"/>
              </w:rPr>
              <w:t>2019</w:t>
            </w:r>
          </w:p>
        </w:tc>
        <w:tc>
          <w:tcPr>
            <w:tcW w:w="1350" w:type="dxa"/>
          </w:tcPr>
          <w:p w:rsidR="00590DC1" w:rsidRPr="00DE157C" w:rsidRDefault="00590DC1" w:rsidP="00CD65D4">
            <w:pPr>
              <w:jc w:val="center"/>
              <w:rPr>
                <w:rFonts w:ascii="Arial Narrow" w:hAnsi="Arial Narrow"/>
              </w:rPr>
            </w:pPr>
            <w:r>
              <w:rPr>
                <w:rFonts w:ascii="Arial Narrow" w:hAnsi="Arial Narrow"/>
              </w:rPr>
              <w:t>2020</w:t>
            </w:r>
          </w:p>
        </w:tc>
        <w:tc>
          <w:tcPr>
            <w:tcW w:w="1620" w:type="dxa"/>
          </w:tcPr>
          <w:p w:rsidR="00590DC1" w:rsidRPr="00DE157C" w:rsidRDefault="00590DC1" w:rsidP="00CD65D4">
            <w:pPr>
              <w:jc w:val="center"/>
              <w:rPr>
                <w:rFonts w:ascii="Arial Narrow" w:hAnsi="Arial Narrow"/>
              </w:rPr>
            </w:pPr>
            <w:r>
              <w:rPr>
                <w:rFonts w:ascii="Arial Narrow" w:hAnsi="Arial Narrow"/>
              </w:rPr>
              <w:t>2019</w:t>
            </w:r>
          </w:p>
        </w:tc>
      </w:tr>
      <w:tr w:rsidR="00590DC1" w:rsidRPr="00DE157C" w:rsidTr="00CD65D4">
        <w:trPr>
          <w:jc w:val="center"/>
        </w:trPr>
        <w:tc>
          <w:tcPr>
            <w:tcW w:w="1548" w:type="dxa"/>
          </w:tcPr>
          <w:p w:rsidR="00590DC1" w:rsidRPr="00DE157C" w:rsidRDefault="00590DC1" w:rsidP="00CD65D4">
            <w:pPr>
              <w:jc w:val="center"/>
              <w:rPr>
                <w:rFonts w:ascii="Arial Narrow" w:hAnsi="Arial Narrow"/>
              </w:rPr>
            </w:pPr>
            <w:r>
              <w:rPr>
                <w:rFonts w:ascii="Arial Narrow" w:hAnsi="Arial Narrow"/>
              </w:rPr>
              <w:t>15-24</w:t>
            </w:r>
          </w:p>
        </w:tc>
        <w:tc>
          <w:tcPr>
            <w:tcW w:w="1350" w:type="dxa"/>
          </w:tcPr>
          <w:p w:rsidR="00590DC1" w:rsidRPr="00DE157C" w:rsidRDefault="00590DC1" w:rsidP="00CD65D4">
            <w:pPr>
              <w:jc w:val="center"/>
              <w:rPr>
                <w:rFonts w:ascii="Arial Narrow" w:hAnsi="Arial Narrow"/>
              </w:rPr>
            </w:pPr>
            <w:r>
              <w:rPr>
                <w:lang w:val="en-US"/>
              </w:rPr>
              <w:t>37</w:t>
            </w:r>
            <w:r>
              <w:t>.</w:t>
            </w:r>
            <w:r w:rsidRPr="00865FFA">
              <w:rPr>
                <w:lang w:val="en-US"/>
              </w:rPr>
              <w:t>500</w:t>
            </w:r>
          </w:p>
        </w:tc>
        <w:tc>
          <w:tcPr>
            <w:tcW w:w="1710" w:type="dxa"/>
          </w:tcPr>
          <w:p w:rsidR="00590DC1" w:rsidRPr="00DE157C" w:rsidRDefault="00590DC1" w:rsidP="00CD65D4">
            <w:pPr>
              <w:jc w:val="center"/>
              <w:rPr>
                <w:rFonts w:ascii="Arial Narrow" w:hAnsi="Arial Narrow"/>
              </w:rPr>
            </w:pPr>
            <w:r>
              <w:rPr>
                <w:lang w:val="en-US"/>
              </w:rPr>
              <w:t>43</w:t>
            </w:r>
            <w:r>
              <w:t>.</w:t>
            </w:r>
            <w:r w:rsidRPr="00865FFA">
              <w:rPr>
                <w:lang w:val="en-US"/>
              </w:rPr>
              <w:t>000</w:t>
            </w:r>
          </w:p>
        </w:tc>
        <w:tc>
          <w:tcPr>
            <w:tcW w:w="1350" w:type="dxa"/>
          </w:tcPr>
          <w:p w:rsidR="00590DC1" w:rsidRPr="00DE157C" w:rsidRDefault="00590DC1" w:rsidP="00CD65D4">
            <w:pPr>
              <w:jc w:val="center"/>
              <w:rPr>
                <w:rFonts w:ascii="Arial Narrow" w:hAnsi="Arial Narrow"/>
              </w:rPr>
            </w:pPr>
            <w:r>
              <w:rPr>
                <w:lang w:val="en-US"/>
              </w:rPr>
              <w:t>12</w:t>
            </w:r>
            <w:r>
              <w:t>,</w:t>
            </w:r>
            <w:r w:rsidRPr="00865FFA">
              <w:rPr>
                <w:lang w:val="en-US"/>
              </w:rPr>
              <w:t>3</w:t>
            </w:r>
          </w:p>
        </w:tc>
        <w:tc>
          <w:tcPr>
            <w:tcW w:w="1620" w:type="dxa"/>
          </w:tcPr>
          <w:p w:rsidR="00590DC1" w:rsidRPr="00DE157C" w:rsidRDefault="00590DC1" w:rsidP="00CD65D4">
            <w:pPr>
              <w:jc w:val="center"/>
              <w:rPr>
                <w:rFonts w:ascii="Arial Narrow" w:hAnsi="Arial Narrow"/>
              </w:rPr>
            </w:pPr>
            <w:r>
              <w:rPr>
                <w:lang w:val="en-US"/>
              </w:rPr>
              <w:t>13</w:t>
            </w:r>
            <w:r>
              <w:t>,</w:t>
            </w:r>
            <w:r w:rsidRPr="00865FFA">
              <w:rPr>
                <w:lang w:val="en-US"/>
              </w:rPr>
              <w:t>2</w:t>
            </w:r>
          </w:p>
        </w:tc>
      </w:tr>
      <w:tr w:rsidR="00590DC1" w:rsidRPr="00DE157C" w:rsidTr="00CD65D4">
        <w:trPr>
          <w:jc w:val="center"/>
        </w:trPr>
        <w:tc>
          <w:tcPr>
            <w:tcW w:w="1548" w:type="dxa"/>
          </w:tcPr>
          <w:p w:rsidR="00590DC1" w:rsidRPr="00DE157C" w:rsidRDefault="00590DC1" w:rsidP="00CD65D4">
            <w:pPr>
              <w:jc w:val="center"/>
              <w:rPr>
                <w:rFonts w:ascii="Arial Narrow" w:hAnsi="Arial Narrow"/>
              </w:rPr>
            </w:pPr>
            <w:r>
              <w:rPr>
                <w:rFonts w:ascii="Arial Narrow" w:hAnsi="Arial Narrow"/>
              </w:rPr>
              <w:t>25-54</w:t>
            </w:r>
          </w:p>
        </w:tc>
        <w:tc>
          <w:tcPr>
            <w:tcW w:w="1350" w:type="dxa"/>
          </w:tcPr>
          <w:p w:rsidR="00590DC1" w:rsidRPr="00DE157C" w:rsidRDefault="00590DC1" w:rsidP="00CD65D4">
            <w:pPr>
              <w:jc w:val="center"/>
              <w:rPr>
                <w:rFonts w:ascii="Arial Narrow" w:hAnsi="Arial Narrow"/>
              </w:rPr>
            </w:pPr>
            <w:r w:rsidRPr="00865FFA">
              <w:rPr>
                <w:lang w:val="en-US"/>
              </w:rPr>
              <w:t>140</w:t>
            </w:r>
            <w:r>
              <w:t>.</w:t>
            </w:r>
            <w:r w:rsidRPr="00865FFA">
              <w:rPr>
                <w:lang w:val="en-US"/>
              </w:rPr>
              <w:t>000</w:t>
            </w:r>
          </w:p>
        </w:tc>
        <w:tc>
          <w:tcPr>
            <w:tcW w:w="1710" w:type="dxa"/>
          </w:tcPr>
          <w:p w:rsidR="00590DC1" w:rsidRPr="00DE157C" w:rsidRDefault="00590DC1" w:rsidP="00CD65D4">
            <w:pPr>
              <w:jc w:val="center"/>
              <w:rPr>
                <w:rFonts w:ascii="Arial Narrow" w:hAnsi="Arial Narrow"/>
              </w:rPr>
            </w:pPr>
            <w:r w:rsidRPr="00865FFA">
              <w:rPr>
                <w:lang w:val="en-US"/>
              </w:rPr>
              <w:t>107</w:t>
            </w:r>
            <w:r>
              <w:t>.</w:t>
            </w:r>
            <w:r w:rsidRPr="00865FFA">
              <w:rPr>
                <w:lang w:val="en-US"/>
              </w:rPr>
              <w:t>700</w:t>
            </w:r>
          </w:p>
        </w:tc>
        <w:tc>
          <w:tcPr>
            <w:tcW w:w="1350" w:type="dxa"/>
          </w:tcPr>
          <w:p w:rsidR="00590DC1" w:rsidRPr="00DE157C" w:rsidRDefault="00590DC1" w:rsidP="00CD65D4">
            <w:pPr>
              <w:jc w:val="center"/>
              <w:rPr>
                <w:rFonts w:ascii="Arial Narrow" w:hAnsi="Arial Narrow"/>
              </w:rPr>
            </w:pPr>
            <w:r>
              <w:rPr>
                <w:lang w:val="en-US"/>
              </w:rPr>
              <w:t>3</w:t>
            </w:r>
            <w:r>
              <w:t>,</w:t>
            </w:r>
            <w:r w:rsidRPr="00865FFA">
              <w:rPr>
                <w:lang w:val="en-US"/>
              </w:rPr>
              <w:t>9</w:t>
            </w:r>
          </w:p>
        </w:tc>
        <w:tc>
          <w:tcPr>
            <w:tcW w:w="1620" w:type="dxa"/>
          </w:tcPr>
          <w:p w:rsidR="00590DC1" w:rsidRPr="00DE157C" w:rsidRDefault="00590DC1" w:rsidP="00CD65D4">
            <w:pPr>
              <w:jc w:val="center"/>
              <w:rPr>
                <w:rFonts w:ascii="Arial Narrow" w:hAnsi="Arial Narrow"/>
              </w:rPr>
            </w:pPr>
            <w:r>
              <w:rPr>
                <w:lang w:val="en-US"/>
              </w:rPr>
              <w:t>3</w:t>
            </w:r>
            <w:r>
              <w:t>,</w:t>
            </w:r>
            <w:r w:rsidRPr="00865FFA">
              <w:rPr>
                <w:lang w:val="en-US"/>
              </w:rPr>
              <w:t>0</w:t>
            </w:r>
          </w:p>
        </w:tc>
      </w:tr>
      <w:tr w:rsidR="00590DC1" w:rsidRPr="00DE157C" w:rsidTr="00CD65D4">
        <w:trPr>
          <w:jc w:val="center"/>
        </w:trPr>
        <w:tc>
          <w:tcPr>
            <w:tcW w:w="1548" w:type="dxa"/>
          </w:tcPr>
          <w:p w:rsidR="00590DC1" w:rsidRPr="00DE157C" w:rsidRDefault="00590DC1" w:rsidP="00CD65D4">
            <w:pPr>
              <w:jc w:val="center"/>
              <w:rPr>
                <w:rFonts w:ascii="Arial Narrow" w:hAnsi="Arial Narrow"/>
              </w:rPr>
            </w:pPr>
            <w:r>
              <w:rPr>
                <w:rFonts w:ascii="Arial Narrow" w:hAnsi="Arial Narrow"/>
              </w:rPr>
              <w:t>55-74</w:t>
            </w:r>
          </w:p>
        </w:tc>
        <w:tc>
          <w:tcPr>
            <w:tcW w:w="1350" w:type="dxa"/>
          </w:tcPr>
          <w:p w:rsidR="00590DC1" w:rsidRPr="00DE157C" w:rsidRDefault="00590DC1" w:rsidP="00CD65D4">
            <w:pPr>
              <w:jc w:val="center"/>
              <w:rPr>
                <w:rFonts w:ascii="Arial Narrow" w:hAnsi="Arial Narrow"/>
              </w:rPr>
            </w:pPr>
            <w:r>
              <w:rPr>
                <w:lang w:val="en-US"/>
              </w:rPr>
              <w:t>26</w:t>
            </w:r>
            <w:r>
              <w:t>.</w:t>
            </w:r>
            <w:r w:rsidRPr="00865FFA">
              <w:rPr>
                <w:lang w:val="en-US"/>
              </w:rPr>
              <w:t>000</w:t>
            </w:r>
          </w:p>
        </w:tc>
        <w:tc>
          <w:tcPr>
            <w:tcW w:w="1710" w:type="dxa"/>
          </w:tcPr>
          <w:p w:rsidR="00590DC1" w:rsidRPr="00DE157C" w:rsidRDefault="00590DC1" w:rsidP="00CD65D4">
            <w:pPr>
              <w:jc w:val="center"/>
              <w:rPr>
                <w:rFonts w:ascii="Arial Narrow" w:hAnsi="Arial Narrow"/>
              </w:rPr>
            </w:pPr>
            <w:r>
              <w:rPr>
                <w:lang w:val="en-US"/>
              </w:rPr>
              <w:t>12</w:t>
            </w:r>
            <w:r>
              <w:t>.</w:t>
            </w:r>
            <w:r w:rsidRPr="00865FFA">
              <w:rPr>
                <w:lang w:val="en-US"/>
              </w:rPr>
              <w:t>600</w:t>
            </w:r>
          </w:p>
        </w:tc>
        <w:tc>
          <w:tcPr>
            <w:tcW w:w="1350" w:type="dxa"/>
          </w:tcPr>
          <w:p w:rsidR="00590DC1" w:rsidRPr="00DE157C" w:rsidRDefault="00590DC1" w:rsidP="00CD65D4">
            <w:pPr>
              <w:jc w:val="center"/>
              <w:rPr>
                <w:rFonts w:ascii="Arial Narrow" w:hAnsi="Arial Narrow"/>
              </w:rPr>
            </w:pPr>
            <w:r>
              <w:rPr>
                <w:lang w:val="en-US"/>
              </w:rPr>
              <w:t>3</w:t>
            </w:r>
            <w:r>
              <w:t>,</w:t>
            </w:r>
            <w:r w:rsidRPr="00865FFA">
              <w:rPr>
                <w:lang w:val="en-US"/>
              </w:rPr>
              <w:t>2</w:t>
            </w:r>
          </w:p>
        </w:tc>
        <w:tc>
          <w:tcPr>
            <w:tcW w:w="1620" w:type="dxa"/>
          </w:tcPr>
          <w:p w:rsidR="00590DC1" w:rsidRPr="00DE157C" w:rsidRDefault="00590DC1" w:rsidP="00CD65D4">
            <w:pPr>
              <w:jc w:val="center"/>
              <w:rPr>
                <w:rFonts w:ascii="Arial Narrow" w:hAnsi="Arial Narrow"/>
              </w:rPr>
            </w:pPr>
            <w:r>
              <w:rPr>
                <w:lang w:val="en-US"/>
              </w:rPr>
              <w:t>1</w:t>
            </w:r>
            <w:r>
              <w:t>,</w:t>
            </w:r>
            <w:r w:rsidRPr="00865FFA">
              <w:rPr>
                <w:lang w:val="en-US"/>
              </w:rPr>
              <w:t>6</w:t>
            </w:r>
          </w:p>
        </w:tc>
      </w:tr>
      <w:tr w:rsidR="00590DC1" w:rsidRPr="00DE157C" w:rsidTr="00CD65D4">
        <w:trPr>
          <w:jc w:val="center"/>
        </w:trPr>
        <w:tc>
          <w:tcPr>
            <w:tcW w:w="1548" w:type="dxa"/>
          </w:tcPr>
          <w:p w:rsidR="00590DC1" w:rsidRPr="00DE157C" w:rsidRDefault="00590DC1" w:rsidP="00CD65D4">
            <w:pPr>
              <w:jc w:val="center"/>
              <w:rPr>
                <w:rFonts w:ascii="Arial Narrow" w:hAnsi="Arial Narrow"/>
              </w:rPr>
            </w:pPr>
            <w:r>
              <w:rPr>
                <w:rFonts w:ascii="Arial Narrow" w:hAnsi="Arial Narrow"/>
              </w:rPr>
              <w:t>Σύνολο</w:t>
            </w:r>
          </w:p>
        </w:tc>
        <w:tc>
          <w:tcPr>
            <w:tcW w:w="1350" w:type="dxa"/>
          </w:tcPr>
          <w:p w:rsidR="00590DC1" w:rsidRPr="00DE157C" w:rsidRDefault="00590DC1" w:rsidP="00CD65D4">
            <w:pPr>
              <w:jc w:val="center"/>
              <w:rPr>
                <w:rFonts w:ascii="Arial Narrow" w:hAnsi="Arial Narrow"/>
              </w:rPr>
            </w:pPr>
            <w:r w:rsidRPr="00865FFA">
              <w:rPr>
                <w:lang w:val="en-US"/>
              </w:rPr>
              <w:t>203</w:t>
            </w:r>
            <w:r>
              <w:t>.</w:t>
            </w:r>
            <w:r w:rsidRPr="00865FFA">
              <w:rPr>
                <w:lang w:val="en-US"/>
              </w:rPr>
              <w:t>800</w:t>
            </w:r>
          </w:p>
        </w:tc>
        <w:tc>
          <w:tcPr>
            <w:tcW w:w="1710" w:type="dxa"/>
          </w:tcPr>
          <w:p w:rsidR="00590DC1" w:rsidRPr="00DE157C" w:rsidRDefault="00590DC1" w:rsidP="00CD65D4">
            <w:pPr>
              <w:jc w:val="center"/>
              <w:rPr>
                <w:rFonts w:ascii="Arial Narrow" w:hAnsi="Arial Narrow"/>
              </w:rPr>
            </w:pPr>
            <w:r w:rsidRPr="00865FFA">
              <w:rPr>
                <w:lang w:val="en-US"/>
              </w:rPr>
              <w:t>163</w:t>
            </w:r>
            <w:r>
              <w:t>.</w:t>
            </w:r>
            <w:r w:rsidRPr="00865FFA">
              <w:rPr>
                <w:lang w:val="en-US"/>
              </w:rPr>
              <w:t>300</w:t>
            </w:r>
          </w:p>
        </w:tc>
        <w:tc>
          <w:tcPr>
            <w:tcW w:w="1350" w:type="dxa"/>
          </w:tcPr>
          <w:p w:rsidR="00590DC1" w:rsidRPr="00DE157C" w:rsidRDefault="00590DC1" w:rsidP="00CD65D4">
            <w:pPr>
              <w:jc w:val="center"/>
              <w:rPr>
                <w:rFonts w:ascii="Arial Narrow" w:hAnsi="Arial Narrow"/>
              </w:rPr>
            </w:pPr>
            <w:r>
              <w:rPr>
                <w:lang w:val="en-US"/>
              </w:rPr>
              <w:t>4</w:t>
            </w:r>
            <w:r>
              <w:t>,</w:t>
            </w:r>
            <w:r w:rsidRPr="00865FFA">
              <w:rPr>
                <w:lang w:val="en-US"/>
              </w:rPr>
              <w:t>4</w:t>
            </w:r>
          </w:p>
        </w:tc>
        <w:tc>
          <w:tcPr>
            <w:tcW w:w="1620" w:type="dxa"/>
          </w:tcPr>
          <w:p w:rsidR="00590DC1" w:rsidRPr="00DE157C" w:rsidRDefault="00590DC1" w:rsidP="00CD65D4">
            <w:pPr>
              <w:jc w:val="center"/>
              <w:rPr>
                <w:rFonts w:ascii="Arial Narrow" w:hAnsi="Arial Narrow"/>
              </w:rPr>
            </w:pPr>
            <w:r>
              <w:rPr>
                <w:lang w:val="en-US"/>
              </w:rPr>
              <w:t>3</w:t>
            </w:r>
            <w:r>
              <w:t>,</w:t>
            </w:r>
            <w:r w:rsidRPr="00865FFA">
              <w:rPr>
                <w:lang w:val="en-US"/>
              </w:rPr>
              <w:t>5</w:t>
            </w:r>
          </w:p>
        </w:tc>
      </w:tr>
    </w:tbl>
    <w:p w:rsidR="002578AD" w:rsidRDefault="00590DC1" w:rsidP="00590DC1">
      <w:pPr>
        <w:pStyle w:val="a3"/>
        <w:tabs>
          <w:tab w:val="clear" w:pos="4320"/>
          <w:tab w:val="clear" w:pos="8640"/>
        </w:tabs>
        <w:ind w:left="720"/>
        <w:jc w:val="both"/>
      </w:pPr>
      <w:r>
        <w:tab/>
      </w:r>
      <w:r w:rsidRPr="00C1110B">
        <w:rPr>
          <w:rFonts w:ascii="Calibri" w:hAnsi="Calibri" w:cs="Arial"/>
          <w:sz w:val="20"/>
          <w:szCs w:val="20"/>
          <w:u w:val="single"/>
        </w:rPr>
        <w:t>Πηγή</w:t>
      </w:r>
      <w:r w:rsidRPr="008E0812">
        <w:rPr>
          <w:rFonts w:ascii="Calibri" w:hAnsi="Calibri" w:cs="Arial"/>
          <w:sz w:val="20"/>
          <w:szCs w:val="20"/>
        </w:rPr>
        <w:t>: Στατιστική Υπηρεσία Ουγγαρίας</w:t>
      </w:r>
      <w:r>
        <w:tab/>
      </w:r>
    </w:p>
    <w:p w:rsidR="002578AD" w:rsidRPr="002578AD" w:rsidRDefault="002578AD" w:rsidP="002578AD">
      <w:pPr>
        <w:jc w:val="both"/>
        <w:rPr>
          <w:rFonts w:ascii="Arial Narrow" w:hAnsi="Arial Narrow" w:cs="Calibri"/>
        </w:rPr>
      </w:pPr>
      <w:r>
        <w:rPr>
          <w:rFonts w:ascii="Arial Narrow" w:hAnsi="Arial Narrow" w:cs="Calibri"/>
        </w:rPr>
        <w:t xml:space="preserve">Εντούτοις, στη συνέχεια, ο δείκτης ανεργίας στη χώρα τον Δεκέμβριο 2020, διαμορφώθηκε στο 4,3% (από 4,1% τον Νοέμβριο) με τους ανέργους να ανέρχονται σε 200.000 (από 190.000 τον Νοέμβριο). Αξίζει να σημειωθεί ότι το τρίμηνο Οκτωβρίου-Δεκεμβρίου, ο δείκτης ανεργίας διαμορφώθηκε στο 4,2%, αυξημένος σε σχέση την αντίστοιχη περίοδο του 2019 (3,3%). Ο αριθμός των απασχολούμενων (4,5 εκ.) εμφανίζεται μειωμένος κατά 14.000 σε σχέση με τον αντίστοιχο μήνα του 2019 (4,514 εκ.), ενώ ο </w:t>
      </w:r>
      <w:r w:rsidRPr="002578AD">
        <w:rPr>
          <w:rFonts w:ascii="Arial Narrow" w:hAnsi="Arial Narrow" w:cs="Calibri"/>
        </w:rPr>
        <w:t xml:space="preserve">μέσος χρόνος που κάποιος παραμένει άνεργος, διαμορφώθηκε στους 11,1 μήνες. </w:t>
      </w:r>
    </w:p>
    <w:p w:rsidR="002578AD" w:rsidRDefault="002578AD" w:rsidP="002578AD">
      <w:pPr>
        <w:jc w:val="both"/>
        <w:rPr>
          <w:rFonts w:ascii="Arial Narrow" w:hAnsi="Arial Narrow" w:cs="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1350"/>
        <w:gridCol w:w="1710"/>
        <w:gridCol w:w="1350"/>
        <w:gridCol w:w="1620"/>
      </w:tblGrid>
      <w:tr w:rsidR="002578AD" w:rsidRPr="002578AD" w:rsidTr="00CD65D4">
        <w:trPr>
          <w:jc w:val="center"/>
        </w:trPr>
        <w:tc>
          <w:tcPr>
            <w:tcW w:w="7578" w:type="dxa"/>
            <w:gridSpan w:val="5"/>
          </w:tcPr>
          <w:p w:rsidR="002578AD" w:rsidRPr="002578AD" w:rsidRDefault="002578AD" w:rsidP="002578AD">
            <w:pPr>
              <w:jc w:val="center"/>
              <w:rPr>
                <w:rFonts w:ascii="Arial Narrow" w:hAnsi="Arial Narrow" w:cs="Calibri"/>
              </w:rPr>
            </w:pPr>
            <w:r w:rsidRPr="002578AD">
              <w:rPr>
                <w:rFonts w:ascii="Arial Narrow" w:hAnsi="Arial Narrow" w:cs="Calibri"/>
              </w:rPr>
              <w:t>Ανεργία δ΄ τριμήνου 2020</w:t>
            </w:r>
          </w:p>
        </w:tc>
      </w:tr>
      <w:tr w:rsidR="002578AD" w:rsidRPr="002578AD" w:rsidTr="00CD65D4">
        <w:trPr>
          <w:jc w:val="center"/>
        </w:trPr>
        <w:tc>
          <w:tcPr>
            <w:tcW w:w="1548" w:type="dxa"/>
          </w:tcPr>
          <w:p w:rsidR="002578AD" w:rsidRPr="002578AD" w:rsidRDefault="002578AD" w:rsidP="002578AD">
            <w:pPr>
              <w:jc w:val="both"/>
              <w:rPr>
                <w:rFonts w:ascii="Arial Narrow" w:hAnsi="Arial Narrow" w:cs="Calibri"/>
              </w:rPr>
            </w:pPr>
          </w:p>
        </w:tc>
        <w:tc>
          <w:tcPr>
            <w:tcW w:w="3060" w:type="dxa"/>
            <w:gridSpan w:val="2"/>
          </w:tcPr>
          <w:p w:rsidR="002578AD" w:rsidRPr="002578AD" w:rsidRDefault="002578AD" w:rsidP="002578AD">
            <w:pPr>
              <w:jc w:val="both"/>
              <w:rPr>
                <w:rFonts w:ascii="Arial Narrow" w:hAnsi="Arial Narrow" w:cs="Calibri"/>
              </w:rPr>
            </w:pPr>
            <w:r w:rsidRPr="002578AD">
              <w:rPr>
                <w:rFonts w:ascii="Arial Narrow" w:hAnsi="Arial Narrow" w:cs="Calibri"/>
              </w:rPr>
              <w:t>Αριθμός ανέργων</w:t>
            </w:r>
          </w:p>
        </w:tc>
        <w:tc>
          <w:tcPr>
            <w:tcW w:w="2970" w:type="dxa"/>
            <w:gridSpan w:val="2"/>
          </w:tcPr>
          <w:p w:rsidR="002578AD" w:rsidRPr="002578AD" w:rsidRDefault="002578AD" w:rsidP="002578AD">
            <w:pPr>
              <w:jc w:val="both"/>
              <w:rPr>
                <w:rFonts w:ascii="Arial Narrow" w:hAnsi="Arial Narrow" w:cs="Calibri"/>
              </w:rPr>
            </w:pPr>
            <w:r w:rsidRPr="002578AD">
              <w:rPr>
                <w:rFonts w:ascii="Arial Narrow" w:hAnsi="Arial Narrow" w:cs="Calibri"/>
              </w:rPr>
              <w:t>Ποσοστό ανεργίας %</w:t>
            </w:r>
          </w:p>
        </w:tc>
      </w:tr>
      <w:tr w:rsidR="002578AD" w:rsidRPr="002578AD" w:rsidTr="00CD65D4">
        <w:trPr>
          <w:jc w:val="center"/>
        </w:trPr>
        <w:tc>
          <w:tcPr>
            <w:tcW w:w="1548" w:type="dxa"/>
          </w:tcPr>
          <w:p w:rsidR="002578AD" w:rsidRPr="002578AD" w:rsidRDefault="002578AD" w:rsidP="002578AD">
            <w:pPr>
              <w:jc w:val="both"/>
              <w:rPr>
                <w:rFonts w:ascii="Arial Narrow" w:hAnsi="Arial Narrow" w:cs="Calibri"/>
              </w:rPr>
            </w:pPr>
            <w:r w:rsidRPr="002578AD">
              <w:rPr>
                <w:rFonts w:ascii="Arial Narrow" w:hAnsi="Arial Narrow" w:cs="Calibri"/>
              </w:rPr>
              <w:t>Ηλικία</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2020</w:t>
            </w:r>
          </w:p>
        </w:tc>
        <w:tc>
          <w:tcPr>
            <w:tcW w:w="1710" w:type="dxa"/>
          </w:tcPr>
          <w:p w:rsidR="002578AD" w:rsidRPr="002578AD" w:rsidRDefault="002578AD" w:rsidP="002578AD">
            <w:pPr>
              <w:jc w:val="both"/>
              <w:rPr>
                <w:rFonts w:ascii="Arial Narrow" w:hAnsi="Arial Narrow" w:cs="Calibri"/>
              </w:rPr>
            </w:pPr>
            <w:r w:rsidRPr="002578AD">
              <w:rPr>
                <w:rFonts w:ascii="Arial Narrow" w:hAnsi="Arial Narrow" w:cs="Calibri"/>
              </w:rPr>
              <w:t>2019</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2020</w:t>
            </w:r>
          </w:p>
        </w:tc>
        <w:tc>
          <w:tcPr>
            <w:tcW w:w="1620" w:type="dxa"/>
          </w:tcPr>
          <w:p w:rsidR="002578AD" w:rsidRPr="002578AD" w:rsidRDefault="002578AD" w:rsidP="002578AD">
            <w:pPr>
              <w:jc w:val="both"/>
              <w:rPr>
                <w:rFonts w:ascii="Arial Narrow" w:hAnsi="Arial Narrow" w:cs="Calibri"/>
              </w:rPr>
            </w:pPr>
            <w:r w:rsidRPr="002578AD">
              <w:rPr>
                <w:rFonts w:ascii="Arial Narrow" w:hAnsi="Arial Narrow" w:cs="Calibri"/>
              </w:rPr>
              <w:t>2019</w:t>
            </w:r>
          </w:p>
        </w:tc>
      </w:tr>
      <w:tr w:rsidR="002578AD" w:rsidRPr="002578AD" w:rsidTr="00CD65D4">
        <w:trPr>
          <w:jc w:val="center"/>
        </w:trPr>
        <w:tc>
          <w:tcPr>
            <w:tcW w:w="1548" w:type="dxa"/>
          </w:tcPr>
          <w:p w:rsidR="002578AD" w:rsidRPr="002578AD" w:rsidRDefault="002578AD" w:rsidP="002578AD">
            <w:pPr>
              <w:jc w:val="both"/>
              <w:rPr>
                <w:rFonts w:ascii="Arial Narrow" w:hAnsi="Arial Narrow" w:cs="Calibri"/>
              </w:rPr>
            </w:pPr>
            <w:r w:rsidRPr="002578AD">
              <w:rPr>
                <w:rFonts w:ascii="Arial Narrow" w:hAnsi="Arial Narrow" w:cs="Calibri"/>
              </w:rPr>
              <w:t>15-24</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 xml:space="preserve">34.500 </w:t>
            </w:r>
          </w:p>
        </w:tc>
        <w:tc>
          <w:tcPr>
            <w:tcW w:w="1710" w:type="dxa"/>
          </w:tcPr>
          <w:p w:rsidR="002578AD" w:rsidRPr="002578AD" w:rsidRDefault="002578AD" w:rsidP="002578AD">
            <w:pPr>
              <w:jc w:val="both"/>
              <w:rPr>
                <w:rFonts w:ascii="Arial Narrow" w:hAnsi="Arial Narrow" w:cs="Calibri"/>
              </w:rPr>
            </w:pPr>
            <w:r w:rsidRPr="002578AD">
              <w:rPr>
                <w:rFonts w:ascii="Arial Narrow" w:hAnsi="Arial Narrow" w:cs="Calibri"/>
              </w:rPr>
              <w:t>39.900</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11,5</w:t>
            </w:r>
          </w:p>
        </w:tc>
        <w:tc>
          <w:tcPr>
            <w:tcW w:w="1620" w:type="dxa"/>
          </w:tcPr>
          <w:p w:rsidR="002578AD" w:rsidRPr="002578AD" w:rsidRDefault="002578AD" w:rsidP="002578AD">
            <w:pPr>
              <w:jc w:val="both"/>
              <w:rPr>
                <w:rFonts w:ascii="Arial Narrow" w:hAnsi="Arial Narrow" w:cs="Calibri"/>
              </w:rPr>
            </w:pPr>
            <w:r w:rsidRPr="002578AD">
              <w:rPr>
                <w:rFonts w:ascii="Arial Narrow" w:hAnsi="Arial Narrow" w:cs="Calibri"/>
              </w:rPr>
              <w:t>12,2</w:t>
            </w:r>
          </w:p>
        </w:tc>
      </w:tr>
      <w:tr w:rsidR="002578AD" w:rsidRPr="002578AD" w:rsidTr="00CD65D4">
        <w:trPr>
          <w:jc w:val="center"/>
        </w:trPr>
        <w:tc>
          <w:tcPr>
            <w:tcW w:w="1548" w:type="dxa"/>
          </w:tcPr>
          <w:p w:rsidR="002578AD" w:rsidRPr="002578AD" w:rsidRDefault="002578AD" w:rsidP="002578AD">
            <w:pPr>
              <w:jc w:val="both"/>
              <w:rPr>
                <w:rFonts w:ascii="Arial Narrow" w:hAnsi="Arial Narrow" w:cs="Calibri"/>
              </w:rPr>
            </w:pPr>
            <w:r w:rsidRPr="002578AD">
              <w:rPr>
                <w:rFonts w:ascii="Arial Narrow" w:hAnsi="Arial Narrow" w:cs="Calibri"/>
              </w:rPr>
              <w:t>25-54</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133.400</w:t>
            </w:r>
          </w:p>
        </w:tc>
        <w:tc>
          <w:tcPr>
            <w:tcW w:w="1710" w:type="dxa"/>
          </w:tcPr>
          <w:p w:rsidR="002578AD" w:rsidRPr="002578AD" w:rsidRDefault="002578AD" w:rsidP="002578AD">
            <w:pPr>
              <w:jc w:val="both"/>
              <w:rPr>
                <w:rFonts w:ascii="Arial Narrow" w:hAnsi="Arial Narrow" w:cs="Calibri"/>
              </w:rPr>
            </w:pPr>
            <w:r w:rsidRPr="002578AD">
              <w:rPr>
                <w:rFonts w:ascii="Arial Narrow" w:hAnsi="Arial Narrow" w:cs="Calibri"/>
              </w:rPr>
              <w:t>102.000</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3,8</w:t>
            </w:r>
          </w:p>
        </w:tc>
        <w:tc>
          <w:tcPr>
            <w:tcW w:w="1620" w:type="dxa"/>
          </w:tcPr>
          <w:p w:rsidR="002578AD" w:rsidRPr="002578AD" w:rsidRDefault="002578AD" w:rsidP="002578AD">
            <w:pPr>
              <w:jc w:val="both"/>
              <w:rPr>
                <w:rFonts w:ascii="Arial Narrow" w:hAnsi="Arial Narrow" w:cs="Calibri"/>
              </w:rPr>
            </w:pPr>
            <w:r w:rsidRPr="002578AD">
              <w:rPr>
                <w:rFonts w:ascii="Arial Narrow" w:hAnsi="Arial Narrow" w:cs="Calibri"/>
              </w:rPr>
              <w:t>2,9</w:t>
            </w:r>
          </w:p>
        </w:tc>
      </w:tr>
      <w:tr w:rsidR="002578AD" w:rsidRPr="002578AD" w:rsidTr="00CD65D4">
        <w:trPr>
          <w:jc w:val="center"/>
        </w:trPr>
        <w:tc>
          <w:tcPr>
            <w:tcW w:w="1548" w:type="dxa"/>
          </w:tcPr>
          <w:p w:rsidR="002578AD" w:rsidRPr="002578AD" w:rsidRDefault="002578AD" w:rsidP="002578AD">
            <w:pPr>
              <w:jc w:val="both"/>
              <w:rPr>
                <w:rFonts w:ascii="Arial Narrow" w:hAnsi="Arial Narrow" w:cs="Calibri"/>
              </w:rPr>
            </w:pPr>
            <w:r w:rsidRPr="002578AD">
              <w:rPr>
                <w:rFonts w:ascii="Arial Narrow" w:hAnsi="Arial Narrow" w:cs="Calibri"/>
              </w:rPr>
              <w:t>55-74</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28.600</w:t>
            </w:r>
          </w:p>
        </w:tc>
        <w:tc>
          <w:tcPr>
            <w:tcW w:w="1710" w:type="dxa"/>
          </w:tcPr>
          <w:p w:rsidR="002578AD" w:rsidRPr="002578AD" w:rsidRDefault="002578AD" w:rsidP="002578AD">
            <w:pPr>
              <w:jc w:val="both"/>
              <w:rPr>
                <w:rFonts w:ascii="Arial Narrow" w:hAnsi="Arial Narrow" w:cs="Calibri"/>
              </w:rPr>
            </w:pPr>
            <w:r w:rsidRPr="002578AD">
              <w:rPr>
                <w:rFonts w:ascii="Arial Narrow" w:hAnsi="Arial Narrow" w:cs="Calibri"/>
              </w:rPr>
              <w:t>13.400</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3,5</w:t>
            </w:r>
          </w:p>
        </w:tc>
        <w:tc>
          <w:tcPr>
            <w:tcW w:w="1620" w:type="dxa"/>
          </w:tcPr>
          <w:p w:rsidR="002578AD" w:rsidRPr="002578AD" w:rsidRDefault="002578AD" w:rsidP="002578AD">
            <w:pPr>
              <w:jc w:val="both"/>
              <w:rPr>
                <w:rFonts w:ascii="Arial Narrow" w:hAnsi="Arial Narrow" w:cs="Calibri"/>
              </w:rPr>
            </w:pPr>
            <w:r w:rsidRPr="002578AD">
              <w:rPr>
                <w:rFonts w:ascii="Arial Narrow" w:hAnsi="Arial Narrow" w:cs="Calibri"/>
              </w:rPr>
              <w:t>1,7</w:t>
            </w:r>
          </w:p>
        </w:tc>
      </w:tr>
      <w:tr w:rsidR="002578AD" w:rsidRPr="002578AD" w:rsidTr="00CD65D4">
        <w:trPr>
          <w:jc w:val="center"/>
        </w:trPr>
        <w:tc>
          <w:tcPr>
            <w:tcW w:w="1548" w:type="dxa"/>
          </w:tcPr>
          <w:p w:rsidR="002578AD" w:rsidRPr="002578AD" w:rsidRDefault="002578AD" w:rsidP="002578AD">
            <w:pPr>
              <w:jc w:val="both"/>
              <w:rPr>
                <w:rFonts w:ascii="Arial Narrow" w:hAnsi="Arial Narrow" w:cs="Calibri"/>
              </w:rPr>
            </w:pPr>
            <w:r w:rsidRPr="002578AD">
              <w:rPr>
                <w:rFonts w:ascii="Arial Narrow" w:hAnsi="Arial Narrow" w:cs="Calibri"/>
              </w:rPr>
              <w:t>Σύνολο</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196.500</w:t>
            </w:r>
          </w:p>
        </w:tc>
        <w:tc>
          <w:tcPr>
            <w:tcW w:w="1710" w:type="dxa"/>
          </w:tcPr>
          <w:p w:rsidR="002578AD" w:rsidRPr="002578AD" w:rsidRDefault="002578AD" w:rsidP="002578AD">
            <w:pPr>
              <w:jc w:val="both"/>
              <w:rPr>
                <w:rFonts w:ascii="Arial Narrow" w:hAnsi="Arial Narrow" w:cs="Calibri"/>
              </w:rPr>
            </w:pPr>
            <w:r w:rsidRPr="002578AD">
              <w:rPr>
                <w:rFonts w:ascii="Arial Narrow" w:hAnsi="Arial Narrow" w:cs="Calibri"/>
              </w:rPr>
              <w:t>155.200</w:t>
            </w:r>
          </w:p>
        </w:tc>
        <w:tc>
          <w:tcPr>
            <w:tcW w:w="1350" w:type="dxa"/>
          </w:tcPr>
          <w:p w:rsidR="002578AD" w:rsidRPr="002578AD" w:rsidRDefault="002578AD" w:rsidP="002578AD">
            <w:pPr>
              <w:jc w:val="both"/>
              <w:rPr>
                <w:rFonts w:ascii="Arial Narrow" w:hAnsi="Arial Narrow" w:cs="Calibri"/>
              </w:rPr>
            </w:pPr>
            <w:r w:rsidRPr="002578AD">
              <w:rPr>
                <w:rFonts w:ascii="Arial Narrow" w:hAnsi="Arial Narrow" w:cs="Calibri"/>
              </w:rPr>
              <w:t>4,2</w:t>
            </w:r>
          </w:p>
        </w:tc>
        <w:tc>
          <w:tcPr>
            <w:tcW w:w="1620" w:type="dxa"/>
          </w:tcPr>
          <w:p w:rsidR="002578AD" w:rsidRPr="002578AD" w:rsidRDefault="002578AD" w:rsidP="002578AD">
            <w:pPr>
              <w:jc w:val="both"/>
              <w:rPr>
                <w:rFonts w:ascii="Arial Narrow" w:hAnsi="Arial Narrow" w:cs="Calibri"/>
              </w:rPr>
            </w:pPr>
            <w:r w:rsidRPr="002578AD">
              <w:rPr>
                <w:rFonts w:ascii="Arial Narrow" w:hAnsi="Arial Narrow" w:cs="Calibri"/>
              </w:rPr>
              <w:t>3,3</w:t>
            </w:r>
          </w:p>
        </w:tc>
      </w:tr>
    </w:tbl>
    <w:p w:rsidR="002578AD" w:rsidRPr="002578AD" w:rsidRDefault="002578AD" w:rsidP="002578AD">
      <w:pPr>
        <w:pStyle w:val="a3"/>
        <w:tabs>
          <w:tab w:val="clear" w:pos="4320"/>
          <w:tab w:val="clear" w:pos="8640"/>
        </w:tabs>
        <w:ind w:left="720"/>
        <w:jc w:val="both"/>
        <w:rPr>
          <w:rFonts w:ascii="Arial Narrow" w:hAnsi="Arial Narrow" w:cs="Calibri"/>
        </w:rPr>
      </w:pPr>
      <w:r w:rsidRPr="002578AD">
        <w:rPr>
          <w:rFonts w:ascii="Arial Narrow" w:hAnsi="Arial Narrow" w:cs="Calibri"/>
        </w:rPr>
        <w:tab/>
      </w:r>
      <w:r w:rsidRPr="002578AD">
        <w:rPr>
          <w:rFonts w:ascii="Calibri" w:hAnsi="Calibri" w:cs="Arial"/>
          <w:sz w:val="20"/>
          <w:szCs w:val="20"/>
        </w:rPr>
        <w:tab/>
        <w:t>Πηγή: Στατιστική Υπηρεσία Ουγγαρίας</w:t>
      </w:r>
      <w:r w:rsidRPr="002578AD">
        <w:rPr>
          <w:rFonts w:ascii="Arial Narrow" w:hAnsi="Arial Narrow" w:cs="Calibri"/>
        </w:rPr>
        <w:tab/>
      </w:r>
      <w:r w:rsidRPr="002578AD">
        <w:rPr>
          <w:rFonts w:ascii="Arial Narrow" w:hAnsi="Arial Narrow" w:cs="Calibri"/>
        </w:rPr>
        <w:tab/>
      </w:r>
      <w:r w:rsidRPr="002578AD">
        <w:rPr>
          <w:rFonts w:ascii="Arial Narrow" w:hAnsi="Arial Narrow" w:cs="Calibri"/>
        </w:rPr>
        <w:tab/>
      </w:r>
      <w:r w:rsidRPr="002578AD">
        <w:rPr>
          <w:rFonts w:ascii="Arial Narrow" w:hAnsi="Arial Narrow" w:cs="Calibri"/>
        </w:rPr>
        <w:tab/>
      </w:r>
    </w:p>
    <w:p w:rsidR="00CC44F6" w:rsidRDefault="00CC44F6" w:rsidP="008B01AD">
      <w:pPr>
        <w:pStyle w:val="a3"/>
        <w:tabs>
          <w:tab w:val="clear" w:pos="4320"/>
          <w:tab w:val="clear" w:pos="8640"/>
        </w:tabs>
        <w:jc w:val="center"/>
        <w:rPr>
          <w:rFonts w:ascii="Arial Narrow" w:eastAsia="MS Mincho" w:hAnsi="Arial Narrow"/>
          <w:b/>
          <w:bCs/>
          <w:color w:val="548DD4"/>
          <w:szCs w:val="20"/>
        </w:rPr>
      </w:pPr>
    </w:p>
    <w:p w:rsidR="00CC44F6" w:rsidRPr="00CC44F6" w:rsidRDefault="00CC44F6" w:rsidP="00CC44F6">
      <w:pPr>
        <w:numPr>
          <w:ilvl w:val="0"/>
          <w:numId w:val="3"/>
        </w:numPr>
        <w:tabs>
          <w:tab w:val="num" w:pos="180"/>
        </w:tabs>
        <w:ind w:left="0" w:firstLine="0"/>
        <w:jc w:val="both"/>
        <w:rPr>
          <w:rFonts w:ascii="Arial Narrow" w:hAnsi="Arial Narrow"/>
          <w:u w:val="single"/>
        </w:rPr>
      </w:pPr>
      <w:r w:rsidRPr="00CC44F6">
        <w:rPr>
          <w:rFonts w:ascii="Arial Narrow" w:hAnsi="Arial Narrow"/>
          <w:u w:val="single"/>
        </w:rPr>
        <w:t>Αύξηση των μισθών τον Οκτώβριο</w:t>
      </w:r>
      <w:r w:rsidR="003904E5">
        <w:rPr>
          <w:rFonts w:ascii="Arial Narrow" w:hAnsi="Arial Narrow"/>
          <w:u w:val="single"/>
        </w:rPr>
        <w:t xml:space="preserve"> και Δεκέμβριο</w:t>
      </w:r>
      <w:r w:rsidRPr="00CC44F6">
        <w:rPr>
          <w:rFonts w:ascii="Arial Narrow" w:hAnsi="Arial Narrow"/>
          <w:u w:val="single"/>
        </w:rPr>
        <w:t xml:space="preserve"> 2020</w:t>
      </w:r>
    </w:p>
    <w:p w:rsidR="00CC44F6" w:rsidRPr="00CC44F6" w:rsidRDefault="00CC44F6" w:rsidP="00CC44F6">
      <w:pPr>
        <w:jc w:val="both"/>
        <w:rPr>
          <w:rFonts w:ascii="Arial Narrow" w:hAnsi="Arial Narrow" w:cs="Calibri"/>
        </w:rPr>
      </w:pPr>
      <w:r w:rsidRPr="00CC44F6">
        <w:rPr>
          <w:rFonts w:ascii="Arial Narrow" w:hAnsi="Arial Narrow" w:cs="Calibri"/>
        </w:rPr>
        <w:t xml:space="preserve">Σύμφωνα με στοιχεία της Κεντρικής Στατιστικής Υπηρεσίας της Ουγγαρίας (KSH) για τον Οκτώβριο 2020, ο μέσος μηνιαίος μεικτός μισθός διαμορφώθηκε στα 397.400 HUF (€1.135), αυξημένος κατά 8,8% σε σχέση με τον αντίστοιχο μήνα του 2019. Την ίδια χρονική περίοδο, αντίστοιχη (8,8%), ήταν και η αύξηση του μέσου μηνιαίου καθαρού μισθού, ο οποίος ανήλθε σε 264.200 HUF (€755). Σε ετήσια βάση, κατά το πρώτο 10-μηνο 2020, οι μεικτοί μισθοί αυξήθηκαν κατά 9,7% σε 395.300 HUF (€1.129,5) σε σχέση με το 10-μηνο 2019, ενώ για το ίδιο διάστημα, αύξηση 6% σημείωσαν και οι καθαροί μισθοί. Επισημαίνεται, όμως, ότι η αύξηση δεν είναι σημαντική, ιδιαιτέρως εάν ληφθεί υπόψη, ότι κατά την κρίση της πανδημίας, ήταν οι χαμηλόμισθοι εκείνοι που επλήγησαν περισσότερο και απώλεσαν θέσεις εργασίας (δημιουργώντας έτσι τεχνητή αύξηση του μέσου μισθού).   </w:t>
      </w:r>
    </w:p>
    <w:p w:rsidR="00CC44F6" w:rsidRPr="00CC44F6" w:rsidRDefault="00CC44F6" w:rsidP="00CC44F6">
      <w:pPr>
        <w:jc w:val="center"/>
        <w:rPr>
          <w:rFonts w:ascii="Arial Narrow" w:hAnsi="Arial Narrow" w:cs="Calibri"/>
        </w:rPr>
      </w:pPr>
      <w:r w:rsidRPr="00CC44F6">
        <w:rPr>
          <w:rFonts w:ascii="Arial Narrow" w:hAnsi="Arial Narrow" w:cs="Calibri"/>
        </w:rPr>
        <w:t>Καθαροί μισθοί: Ιανουάριος-Οκτώβριος 2020</w:t>
      </w:r>
    </w:p>
    <w:tbl>
      <w:tblPr>
        <w:tblW w:w="0" w:type="auto"/>
        <w:tblBorders>
          <w:top w:val="single" w:sz="8" w:space="0" w:color="000000"/>
          <w:bottom w:val="single" w:sz="8" w:space="0" w:color="000000"/>
        </w:tblBorders>
        <w:tblLook w:val="04A0"/>
      </w:tblPr>
      <w:tblGrid>
        <w:gridCol w:w="3708"/>
        <w:gridCol w:w="1620"/>
        <w:gridCol w:w="1260"/>
        <w:gridCol w:w="3266"/>
      </w:tblGrid>
      <w:tr w:rsidR="00CC44F6" w:rsidRPr="00E82C3A" w:rsidTr="00CD65D4">
        <w:tc>
          <w:tcPr>
            <w:tcW w:w="3708" w:type="dxa"/>
            <w:tcBorders>
              <w:top w:val="single" w:sz="8" w:space="0" w:color="000000"/>
              <w:bottom w:val="single" w:sz="4" w:space="0" w:color="auto"/>
            </w:tcBorders>
          </w:tcPr>
          <w:p w:rsidR="00CC44F6" w:rsidRPr="004C1948" w:rsidRDefault="00CC44F6" w:rsidP="00CD65D4">
            <w:pPr>
              <w:jc w:val="center"/>
              <w:rPr>
                <w:rFonts w:ascii="Arial Narrow" w:hAnsi="Arial Narrow"/>
                <w:b/>
              </w:rPr>
            </w:pPr>
            <w:r w:rsidRPr="004C1948">
              <w:rPr>
                <w:rFonts w:ascii="Arial Narrow" w:hAnsi="Arial Narrow"/>
                <w:b/>
              </w:rPr>
              <w:t>Κλάδος</w:t>
            </w:r>
          </w:p>
        </w:tc>
        <w:tc>
          <w:tcPr>
            <w:tcW w:w="1620" w:type="dxa"/>
            <w:tcBorders>
              <w:top w:val="single" w:sz="8" w:space="0" w:color="000000"/>
              <w:bottom w:val="single" w:sz="4" w:space="0" w:color="auto"/>
            </w:tcBorders>
          </w:tcPr>
          <w:p w:rsidR="00CC44F6" w:rsidRPr="004C1948" w:rsidRDefault="00CC44F6" w:rsidP="00CD65D4">
            <w:pPr>
              <w:ind w:hanging="18"/>
              <w:jc w:val="center"/>
              <w:rPr>
                <w:rFonts w:ascii="Arial Narrow" w:hAnsi="Arial Narrow"/>
                <w:b/>
              </w:rPr>
            </w:pPr>
            <w:r w:rsidRPr="004C1948">
              <w:rPr>
                <w:rFonts w:ascii="Arial Narrow" w:hAnsi="Arial Narrow"/>
                <w:b/>
              </w:rPr>
              <w:t>HUF</w:t>
            </w:r>
          </w:p>
        </w:tc>
        <w:tc>
          <w:tcPr>
            <w:tcW w:w="1260" w:type="dxa"/>
            <w:tcBorders>
              <w:top w:val="single" w:sz="8" w:space="0" w:color="000000"/>
              <w:bottom w:val="single" w:sz="4" w:space="0" w:color="auto"/>
            </w:tcBorders>
          </w:tcPr>
          <w:p w:rsidR="00CC44F6" w:rsidRPr="004C1948" w:rsidRDefault="00CC44F6" w:rsidP="00CD65D4">
            <w:pPr>
              <w:ind w:firstLine="38"/>
              <w:jc w:val="center"/>
              <w:rPr>
                <w:rFonts w:ascii="Arial Narrow" w:hAnsi="Arial Narrow"/>
                <w:b/>
              </w:rPr>
            </w:pPr>
            <w:r w:rsidRPr="004C1948">
              <w:rPr>
                <w:rFonts w:ascii="Calibri" w:hAnsi="Calibri" w:cs="Calibri"/>
                <w:b/>
              </w:rPr>
              <w:t>€</w:t>
            </w:r>
          </w:p>
        </w:tc>
        <w:tc>
          <w:tcPr>
            <w:tcW w:w="3266" w:type="dxa"/>
            <w:tcBorders>
              <w:top w:val="single" w:sz="8" w:space="0" w:color="000000"/>
              <w:bottom w:val="single" w:sz="4" w:space="0" w:color="auto"/>
            </w:tcBorders>
          </w:tcPr>
          <w:p w:rsidR="00CC44F6" w:rsidRPr="004C1948" w:rsidRDefault="00CC44F6" w:rsidP="00CD65D4">
            <w:pPr>
              <w:jc w:val="center"/>
              <w:rPr>
                <w:rFonts w:ascii="Arial Narrow" w:hAnsi="Arial Narrow"/>
                <w:b/>
              </w:rPr>
            </w:pPr>
            <w:r w:rsidRPr="004C1948">
              <w:rPr>
                <w:rFonts w:ascii="Arial Narrow" w:hAnsi="Arial Narrow"/>
                <w:b/>
              </w:rPr>
              <w:t>% μεταβολή σε ετήσια βάση</w:t>
            </w:r>
          </w:p>
        </w:tc>
      </w:tr>
      <w:tr w:rsidR="00CC44F6" w:rsidRPr="00E82C3A" w:rsidTr="00CD65D4">
        <w:tc>
          <w:tcPr>
            <w:tcW w:w="3708" w:type="dxa"/>
            <w:tcBorders>
              <w:top w:val="single" w:sz="4" w:space="0" w:color="auto"/>
            </w:tcBorders>
          </w:tcPr>
          <w:p w:rsidR="00CC44F6" w:rsidRPr="00E82C3A" w:rsidRDefault="00CC44F6" w:rsidP="00CD65D4">
            <w:pPr>
              <w:rPr>
                <w:rFonts w:ascii="Arial Narrow" w:hAnsi="Arial Narrow"/>
              </w:rPr>
            </w:pPr>
            <w:r w:rsidRPr="00E82C3A">
              <w:rPr>
                <w:rFonts w:ascii="Arial Narrow" w:hAnsi="Arial Narrow"/>
              </w:rPr>
              <w:t>Ιδιωτικός τομέας</w:t>
            </w:r>
          </w:p>
        </w:tc>
        <w:tc>
          <w:tcPr>
            <w:tcW w:w="1620" w:type="dxa"/>
            <w:tcBorders>
              <w:top w:val="single" w:sz="4" w:space="0" w:color="auto"/>
            </w:tcBorders>
          </w:tcPr>
          <w:p w:rsidR="00CC44F6" w:rsidRPr="00E82C3A" w:rsidRDefault="00CC44F6" w:rsidP="00CD65D4">
            <w:pPr>
              <w:jc w:val="center"/>
              <w:rPr>
                <w:rFonts w:ascii="Arial Narrow" w:hAnsi="Arial Narrow"/>
              </w:rPr>
            </w:pPr>
            <w:r w:rsidRPr="00E82C3A">
              <w:rPr>
                <w:rFonts w:ascii="Arial Narrow" w:hAnsi="Arial Narrow"/>
              </w:rPr>
              <w:t>2</w:t>
            </w:r>
            <w:r>
              <w:rPr>
                <w:rFonts w:ascii="Arial Narrow" w:hAnsi="Arial Narrow"/>
              </w:rPr>
              <w:t>72.7</w:t>
            </w:r>
            <w:r w:rsidRPr="00E82C3A">
              <w:rPr>
                <w:rFonts w:ascii="Arial Narrow" w:hAnsi="Arial Narrow"/>
              </w:rPr>
              <w:t>00</w:t>
            </w:r>
          </w:p>
        </w:tc>
        <w:tc>
          <w:tcPr>
            <w:tcW w:w="1260" w:type="dxa"/>
            <w:tcBorders>
              <w:top w:val="single" w:sz="4" w:space="0" w:color="auto"/>
            </w:tcBorders>
          </w:tcPr>
          <w:p w:rsidR="00CC44F6" w:rsidRDefault="00CC44F6" w:rsidP="00CD65D4">
            <w:pPr>
              <w:jc w:val="center"/>
              <w:rPr>
                <w:rFonts w:ascii="Arial Narrow" w:hAnsi="Arial Narrow"/>
              </w:rPr>
            </w:pPr>
            <w:r>
              <w:rPr>
                <w:rFonts w:ascii="Arial Narrow" w:hAnsi="Arial Narrow"/>
              </w:rPr>
              <w:t>779,1</w:t>
            </w:r>
          </w:p>
        </w:tc>
        <w:tc>
          <w:tcPr>
            <w:tcW w:w="3266" w:type="dxa"/>
            <w:tcBorders>
              <w:top w:val="single" w:sz="4" w:space="0" w:color="auto"/>
            </w:tcBorders>
          </w:tcPr>
          <w:p w:rsidR="00CC44F6" w:rsidRPr="00E82C3A" w:rsidRDefault="00CC44F6" w:rsidP="00CD65D4">
            <w:pPr>
              <w:ind w:firstLine="708"/>
              <w:jc w:val="center"/>
              <w:rPr>
                <w:rFonts w:ascii="Arial Narrow" w:hAnsi="Arial Narrow"/>
              </w:rPr>
            </w:pPr>
            <w:r>
              <w:rPr>
                <w:rFonts w:ascii="Arial Narrow" w:hAnsi="Arial Narrow"/>
              </w:rPr>
              <w:t>9</w:t>
            </w:r>
            <w:r w:rsidRPr="00E82C3A">
              <w:rPr>
                <w:rFonts w:ascii="Arial Narrow" w:hAnsi="Arial Narrow"/>
              </w:rPr>
              <w:t>,</w:t>
            </w:r>
            <w:r>
              <w:rPr>
                <w:rFonts w:ascii="Arial Narrow" w:hAnsi="Arial Narrow"/>
              </w:rPr>
              <w:t>5</w:t>
            </w:r>
          </w:p>
        </w:tc>
      </w:tr>
      <w:tr w:rsidR="00CC44F6" w:rsidRPr="00E82C3A" w:rsidTr="00CD65D4">
        <w:tc>
          <w:tcPr>
            <w:tcW w:w="3708" w:type="dxa"/>
          </w:tcPr>
          <w:p w:rsidR="00CC44F6" w:rsidRPr="00E82C3A" w:rsidRDefault="00CC44F6" w:rsidP="00CD65D4">
            <w:pPr>
              <w:rPr>
                <w:rFonts w:ascii="Arial Narrow" w:hAnsi="Arial Narrow"/>
              </w:rPr>
            </w:pPr>
            <w:r w:rsidRPr="00E82C3A">
              <w:rPr>
                <w:rFonts w:ascii="Arial Narrow" w:hAnsi="Arial Narrow"/>
              </w:rPr>
              <w:t>Δημόσιος τομέας</w:t>
            </w:r>
          </w:p>
        </w:tc>
        <w:tc>
          <w:tcPr>
            <w:tcW w:w="1620" w:type="dxa"/>
          </w:tcPr>
          <w:p w:rsidR="00CC44F6" w:rsidRPr="00E82C3A" w:rsidRDefault="00CC44F6" w:rsidP="00CD65D4">
            <w:pPr>
              <w:jc w:val="center"/>
              <w:rPr>
                <w:rFonts w:ascii="Arial Narrow" w:hAnsi="Arial Narrow"/>
              </w:rPr>
            </w:pPr>
            <w:r w:rsidRPr="00E82C3A">
              <w:rPr>
                <w:rFonts w:ascii="Arial Narrow" w:hAnsi="Arial Narrow"/>
              </w:rPr>
              <w:t>2</w:t>
            </w:r>
            <w:r>
              <w:rPr>
                <w:rFonts w:ascii="Arial Narrow" w:hAnsi="Arial Narrow"/>
              </w:rPr>
              <w:t>66</w:t>
            </w:r>
            <w:r w:rsidRPr="00E82C3A">
              <w:rPr>
                <w:rFonts w:ascii="Arial Narrow" w:hAnsi="Arial Narrow"/>
              </w:rPr>
              <w:t>.</w:t>
            </w:r>
            <w:r>
              <w:rPr>
                <w:rFonts w:ascii="Arial Narrow" w:hAnsi="Arial Narrow"/>
              </w:rPr>
              <w:t>9</w:t>
            </w:r>
            <w:r w:rsidRPr="00E82C3A">
              <w:rPr>
                <w:rFonts w:ascii="Arial Narrow" w:hAnsi="Arial Narrow"/>
              </w:rPr>
              <w:t>00</w:t>
            </w:r>
          </w:p>
        </w:tc>
        <w:tc>
          <w:tcPr>
            <w:tcW w:w="1260" w:type="dxa"/>
          </w:tcPr>
          <w:p w:rsidR="00CC44F6" w:rsidRDefault="00CC44F6" w:rsidP="00CD65D4">
            <w:pPr>
              <w:jc w:val="center"/>
              <w:rPr>
                <w:rFonts w:ascii="Arial Narrow" w:hAnsi="Arial Narrow"/>
              </w:rPr>
            </w:pPr>
            <w:r>
              <w:rPr>
                <w:rFonts w:ascii="Arial Narrow" w:hAnsi="Arial Narrow"/>
              </w:rPr>
              <w:t>762,5</w:t>
            </w:r>
          </w:p>
        </w:tc>
        <w:tc>
          <w:tcPr>
            <w:tcW w:w="3266" w:type="dxa"/>
          </w:tcPr>
          <w:p w:rsidR="00CC44F6" w:rsidRPr="00E82C3A" w:rsidRDefault="00CC44F6" w:rsidP="00CD65D4">
            <w:pPr>
              <w:ind w:firstLine="708"/>
              <w:jc w:val="center"/>
              <w:rPr>
                <w:rFonts w:ascii="Arial Narrow" w:hAnsi="Arial Narrow"/>
              </w:rPr>
            </w:pPr>
            <w:r>
              <w:rPr>
                <w:rFonts w:ascii="Arial Narrow" w:hAnsi="Arial Narrow"/>
              </w:rPr>
              <w:t>10,2</w:t>
            </w:r>
          </w:p>
        </w:tc>
      </w:tr>
      <w:tr w:rsidR="00CC44F6" w:rsidRPr="00E82C3A" w:rsidTr="00CD65D4">
        <w:tc>
          <w:tcPr>
            <w:tcW w:w="3708" w:type="dxa"/>
          </w:tcPr>
          <w:p w:rsidR="00CC44F6" w:rsidRPr="00E82C3A" w:rsidRDefault="00CC44F6" w:rsidP="00CD65D4">
            <w:pPr>
              <w:rPr>
                <w:rFonts w:ascii="Arial Narrow" w:hAnsi="Arial Narrow"/>
              </w:rPr>
            </w:pPr>
            <w:r w:rsidRPr="00E82C3A">
              <w:rPr>
                <w:rFonts w:ascii="Arial Narrow" w:hAnsi="Arial Narrow"/>
              </w:rPr>
              <w:t>ΜΚΟ</w:t>
            </w:r>
          </w:p>
        </w:tc>
        <w:tc>
          <w:tcPr>
            <w:tcW w:w="1620" w:type="dxa"/>
          </w:tcPr>
          <w:p w:rsidR="00CC44F6" w:rsidRPr="00E82C3A" w:rsidRDefault="00CC44F6" w:rsidP="00CD65D4">
            <w:pPr>
              <w:jc w:val="center"/>
              <w:rPr>
                <w:rFonts w:ascii="Arial Narrow" w:hAnsi="Arial Narrow"/>
              </w:rPr>
            </w:pPr>
            <w:r w:rsidRPr="00E82C3A">
              <w:rPr>
                <w:rFonts w:ascii="Arial Narrow" w:hAnsi="Arial Narrow"/>
              </w:rPr>
              <w:t>2</w:t>
            </w:r>
            <w:r>
              <w:rPr>
                <w:rFonts w:ascii="Arial Narrow" w:hAnsi="Arial Narrow"/>
              </w:rPr>
              <w:t>44</w:t>
            </w:r>
            <w:r w:rsidRPr="00E82C3A">
              <w:rPr>
                <w:rFonts w:ascii="Arial Narrow" w:hAnsi="Arial Narrow"/>
              </w:rPr>
              <w:t>.</w:t>
            </w:r>
            <w:r>
              <w:rPr>
                <w:rFonts w:ascii="Arial Narrow" w:hAnsi="Arial Narrow"/>
              </w:rPr>
              <w:t>5</w:t>
            </w:r>
            <w:r w:rsidRPr="00E82C3A">
              <w:rPr>
                <w:rFonts w:ascii="Arial Narrow" w:hAnsi="Arial Narrow"/>
              </w:rPr>
              <w:t>00</w:t>
            </w:r>
          </w:p>
        </w:tc>
        <w:tc>
          <w:tcPr>
            <w:tcW w:w="1260" w:type="dxa"/>
          </w:tcPr>
          <w:p w:rsidR="00CC44F6" w:rsidRDefault="00CC44F6" w:rsidP="00CD65D4">
            <w:pPr>
              <w:jc w:val="center"/>
              <w:rPr>
                <w:rFonts w:ascii="Arial Narrow" w:hAnsi="Arial Narrow"/>
              </w:rPr>
            </w:pPr>
            <w:r>
              <w:rPr>
                <w:rFonts w:ascii="Arial Narrow" w:hAnsi="Arial Narrow"/>
              </w:rPr>
              <w:t>698,5</w:t>
            </w:r>
          </w:p>
        </w:tc>
        <w:tc>
          <w:tcPr>
            <w:tcW w:w="3266" w:type="dxa"/>
          </w:tcPr>
          <w:p w:rsidR="00CC44F6" w:rsidRPr="00E82C3A" w:rsidRDefault="00CC44F6" w:rsidP="00CD65D4">
            <w:pPr>
              <w:ind w:firstLine="708"/>
              <w:jc w:val="center"/>
              <w:rPr>
                <w:rFonts w:ascii="Arial Narrow" w:hAnsi="Arial Narrow"/>
              </w:rPr>
            </w:pPr>
            <w:r>
              <w:rPr>
                <w:rFonts w:ascii="Arial Narrow" w:hAnsi="Arial Narrow"/>
              </w:rPr>
              <w:t>9</w:t>
            </w:r>
            <w:r w:rsidRPr="00E82C3A">
              <w:rPr>
                <w:rFonts w:ascii="Arial Narrow" w:hAnsi="Arial Narrow"/>
              </w:rPr>
              <w:t>,</w:t>
            </w:r>
            <w:r>
              <w:rPr>
                <w:rFonts w:ascii="Arial Narrow" w:hAnsi="Arial Narrow"/>
              </w:rPr>
              <w:t>4</w:t>
            </w:r>
          </w:p>
        </w:tc>
      </w:tr>
      <w:tr w:rsidR="00CC44F6" w:rsidRPr="00E82C3A" w:rsidTr="00CD65D4">
        <w:tc>
          <w:tcPr>
            <w:tcW w:w="3708" w:type="dxa"/>
          </w:tcPr>
          <w:p w:rsidR="00CC44F6" w:rsidRPr="00E82C3A" w:rsidRDefault="00CC44F6" w:rsidP="00CD65D4">
            <w:pPr>
              <w:rPr>
                <w:rFonts w:ascii="Arial Narrow" w:hAnsi="Arial Narrow"/>
              </w:rPr>
            </w:pPr>
            <w:r>
              <w:rPr>
                <w:rFonts w:ascii="Arial Narrow" w:hAnsi="Arial Narrow"/>
              </w:rPr>
              <w:t xml:space="preserve">Δημόσια </w:t>
            </w:r>
            <w:r w:rsidRPr="00E82C3A">
              <w:rPr>
                <w:rFonts w:ascii="Arial Narrow" w:hAnsi="Arial Narrow"/>
              </w:rPr>
              <w:t>Προγράμματα Απασχόλησης</w:t>
            </w:r>
            <w:r>
              <w:rPr>
                <w:rFonts w:ascii="Arial Narrow" w:hAnsi="Arial Narrow"/>
              </w:rPr>
              <w:t xml:space="preserve"> </w:t>
            </w:r>
          </w:p>
        </w:tc>
        <w:tc>
          <w:tcPr>
            <w:tcW w:w="1620" w:type="dxa"/>
          </w:tcPr>
          <w:p w:rsidR="00CC44F6" w:rsidRPr="00E82C3A" w:rsidRDefault="00CC44F6" w:rsidP="00CD65D4">
            <w:pPr>
              <w:jc w:val="center"/>
              <w:rPr>
                <w:rFonts w:ascii="Arial Narrow" w:hAnsi="Arial Narrow"/>
              </w:rPr>
            </w:pPr>
            <w:r>
              <w:rPr>
                <w:rFonts w:ascii="Arial Narrow" w:hAnsi="Arial Narrow"/>
              </w:rPr>
              <w:t>54.400</w:t>
            </w:r>
          </w:p>
        </w:tc>
        <w:tc>
          <w:tcPr>
            <w:tcW w:w="1260" w:type="dxa"/>
          </w:tcPr>
          <w:p w:rsidR="00CC44F6" w:rsidRDefault="00CC44F6" w:rsidP="00CD65D4">
            <w:pPr>
              <w:jc w:val="center"/>
              <w:rPr>
                <w:rFonts w:ascii="Arial Narrow" w:hAnsi="Arial Narrow"/>
              </w:rPr>
            </w:pPr>
            <w:r>
              <w:rPr>
                <w:rFonts w:ascii="Arial Narrow" w:hAnsi="Arial Narrow"/>
              </w:rPr>
              <w:t>155,4</w:t>
            </w:r>
          </w:p>
        </w:tc>
        <w:tc>
          <w:tcPr>
            <w:tcW w:w="3266" w:type="dxa"/>
          </w:tcPr>
          <w:p w:rsidR="00CC44F6" w:rsidRDefault="00CC44F6" w:rsidP="00CD65D4">
            <w:pPr>
              <w:ind w:firstLine="708"/>
              <w:jc w:val="center"/>
              <w:rPr>
                <w:rFonts w:ascii="Arial Narrow" w:hAnsi="Arial Narrow"/>
              </w:rPr>
            </w:pPr>
            <w:r>
              <w:rPr>
                <w:rFonts w:ascii="Arial Narrow" w:hAnsi="Arial Narrow"/>
              </w:rPr>
              <w:t>-7,4</w:t>
            </w:r>
          </w:p>
        </w:tc>
      </w:tr>
      <w:tr w:rsidR="00CC44F6" w:rsidRPr="00E82C3A" w:rsidTr="00CD65D4">
        <w:tc>
          <w:tcPr>
            <w:tcW w:w="3708" w:type="dxa"/>
          </w:tcPr>
          <w:p w:rsidR="00CC44F6" w:rsidRPr="0043058D" w:rsidRDefault="00CC44F6" w:rsidP="00CD65D4">
            <w:pPr>
              <w:rPr>
                <w:rFonts w:ascii="Arial Narrow" w:hAnsi="Arial Narrow"/>
                <w:b/>
              </w:rPr>
            </w:pPr>
            <w:r w:rsidRPr="0043058D">
              <w:rPr>
                <w:rFonts w:ascii="Arial Narrow" w:hAnsi="Arial Narrow"/>
                <w:b/>
              </w:rPr>
              <w:t>Σύνολο</w:t>
            </w:r>
          </w:p>
        </w:tc>
        <w:tc>
          <w:tcPr>
            <w:tcW w:w="1620" w:type="dxa"/>
          </w:tcPr>
          <w:p w:rsidR="00CC44F6" w:rsidRPr="0043058D" w:rsidRDefault="00CC44F6" w:rsidP="00CD65D4">
            <w:pPr>
              <w:jc w:val="center"/>
              <w:rPr>
                <w:rFonts w:ascii="Arial Narrow" w:hAnsi="Arial Narrow"/>
                <w:b/>
              </w:rPr>
            </w:pPr>
            <w:r w:rsidRPr="0043058D">
              <w:rPr>
                <w:rFonts w:ascii="Arial Narrow" w:hAnsi="Arial Narrow"/>
                <w:b/>
              </w:rPr>
              <w:t>2</w:t>
            </w:r>
            <w:r>
              <w:rPr>
                <w:rFonts w:ascii="Arial Narrow" w:hAnsi="Arial Narrow"/>
                <w:b/>
              </w:rPr>
              <w:t>62</w:t>
            </w:r>
            <w:r w:rsidRPr="0043058D">
              <w:rPr>
                <w:rFonts w:ascii="Arial Narrow" w:hAnsi="Arial Narrow"/>
                <w:b/>
              </w:rPr>
              <w:t>.</w:t>
            </w:r>
            <w:r>
              <w:rPr>
                <w:rFonts w:ascii="Arial Narrow" w:hAnsi="Arial Narrow"/>
                <w:b/>
              </w:rPr>
              <w:t>9</w:t>
            </w:r>
            <w:r w:rsidRPr="0043058D">
              <w:rPr>
                <w:rFonts w:ascii="Arial Narrow" w:hAnsi="Arial Narrow"/>
                <w:b/>
              </w:rPr>
              <w:t>00</w:t>
            </w:r>
          </w:p>
        </w:tc>
        <w:tc>
          <w:tcPr>
            <w:tcW w:w="1260" w:type="dxa"/>
          </w:tcPr>
          <w:p w:rsidR="00CC44F6" w:rsidRDefault="00CC44F6" w:rsidP="00CD65D4">
            <w:pPr>
              <w:jc w:val="center"/>
              <w:rPr>
                <w:rFonts w:ascii="Arial Narrow" w:hAnsi="Arial Narrow"/>
                <w:b/>
              </w:rPr>
            </w:pPr>
            <w:r>
              <w:rPr>
                <w:rFonts w:ascii="Arial Narrow" w:hAnsi="Arial Narrow"/>
                <w:b/>
              </w:rPr>
              <w:t>751,1</w:t>
            </w:r>
          </w:p>
        </w:tc>
        <w:tc>
          <w:tcPr>
            <w:tcW w:w="3266" w:type="dxa"/>
          </w:tcPr>
          <w:p w:rsidR="00CC44F6" w:rsidRPr="0043058D" w:rsidRDefault="00CC44F6" w:rsidP="00CD65D4">
            <w:pPr>
              <w:ind w:firstLine="708"/>
              <w:jc w:val="center"/>
              <w:rPr>
                <w:rFonts w:ascii="Arial Narrow" w:hAnsi="Arial Narrow"/>
                <w:b/>
              </w:rPr>
            </w:pPr>
            <w:r>
              <w:rPr>
                <w:rFonts w:ascii="Arial Narrow" w:hAnsi="Arial Narrow"/>
                <w:b/>
              </w:rPr>
              <w:t>9</w:t>
            </w:r>
            <w:r w:rsidRPr="0043058D">
              <w:rPr>
                <w:rFonts w:ascii="Arial Narrow" w:hAnsi="Arial Narrow"/>
                <w:b/>
              </w:rPr>
              <w:t>,</w:t>
            </w:r>
            <w:r>
              <w:rPr>
                <w:rFonts w:ascii="Arial Narrow" w:hAnsi="Arial Narrow"/>
                <w:b/>
              </w:rPr>
              <w:t>7</w:t>
            </w:r>
          </w:p>
        </w:tc>
      </w:tr>
    </w:tbl>
    <w:p w:rsidR="00CC44F6" w:rsidRDefault="00CC44F6" w:rsidP="00CC44F6">
      <w:pPr>
        <w:ind w:left="720"/>
        <w:jc w:val="both"/>
        <w:rPr>
          <w:rFonts w:ascii="Calibri" w:hAnsi="Calibri" w:cs="Arial"/>
          <w:sz w:val="20"/>
          <w:szCs w:val="20"/>
        </w:rPr>
      </w:pPr>
      <w:r w:rsidRPr="00C1110B">
        <w:rPr>
          <w:rFonts w:ascii="Calibri" w:hAnsi="Calibri" w:cs="Arial"/>
          <w:sz w:val="20"/>
          <w:szCs w:val="20"/>
          <w:u w:val="single"/>
        </w:rPr>
        <w:t>Πηγή</w:t>
      </w:r>
      <w:r w:rsidRPr="008E0812">
        <w:rPr>
          <w:rFonts w:ascii="Calibri" w:hAnsi="Calibri" w:cs="Arial"/>
          <w:sz w:val="20"/>
          <w:szCs w:val="20"/>
        </w:rPr>
        <w:t>: Στατιστική Υπηρεσία Ουγγαρίας</w:t>
      </w:r>
    </w:p>
    <w:p w:rsidR="00794A2E" w:rsidRDefault="00794A2E" w:rsidP="00CC44F6">
      <w:pPr>
        <w:ind w:left="720"/>
        <w:jc w:val="both"/>
        <w:rPr>
          <w:rFonts w:ascii="Arial Narrow" w:hAnsi="Arial Narrow" w:cs="Arial"/>
          <w:sz w:val="18"/>
          <w:szCs w:val="18"/>
        </w:rPr>
      </w:pPr>
    </w:p>
    <w:p w:rsidR="003904E5" w:rsidRPr="004136B7" w:rsidRDefault="003904E5" w:rsidP="003904E5">
      <w:pPr>
        <w:jc w:val="both"/>
        <w:rPr>
          <w:rFonts w:ascii="Arial Narrow" w:hAnsi="Arial Narrow"/>
        </w:rPr>
      </w:pPr>
      <w:r>
        <w:rPr>
          <w:rFonts w:ascii="Arial Narrow" w:hAnsi="Arial Narrow"/>
        </w:rPr>
        <w:t>Παρομοίως και για τον Δεκέμβριο 2020,</w:t>
      </w:r>
      <w:r w:rsidRPr="0043058D">
        <w:rPr>
          <w:rFonts w:ascii="Arial Narrow" w:hAnsi="Arial Narrow"/>
        </w:rPr>
        <w:t xml:space="preserve"> </w:t>
      </w:r>
      <w:r w:rsidRPr="00E82C3A">
        <w:rPr>
          <w:rFonts w:ascii="Arial Narrow" w:hAnsi="Arial Narrow"/>
        </w:rPr>
        <w:t>ο μέσος μηνιαίος μεικτός μισθός</w:t>
      </w:r>
      <w:r>
        <w:rPr>
          <w:rFonts w:ascii="Arial Narrow" w:hAnsi="Arial Narrow"/>
        </w:rPr>
        <w:t>,</w:t>
      </w:r>
      <w:r w:rsidRPr="00E82C3A">
        <w:rPr>
          <w:rFonts w:ascii="Arial Narrow" w:hAnsi="Arial Narrow"/>
        </w:rPr>
        <w:t xml:space="preserve"> διαμορφώθηκε στα </w:t>
      </w:r>
      <w:r>
        <w:rPr>
          <w:rFonts w:ascii="Arial Narrow" w:hAnsi="Arial Narrow"/>
        </w:rPr>
        <w:t>449</w:t>
      </w:r>
      <w:r w:rsidRPr="00E82C3A">
        <w:rPr>
          <w:rFonts w:ascii="Arial Narrow" w:hAnsi="Arial Narrow"/>
        </w:rPr>
        <w:t>.</w:t>
      </w:r>
      <w:r>
        <w:rPr>
          <w:rFonts w:ascii="Arial Narrow" w:hAnsi="Arial Narrow"/>
        </w:rPr>
        <w:t>4</w:t>
      </w:r>
      <w:r w:rsidRPr="00E82C3A">
        <w:rPr>
          <w:rFonts w:ascii="Arial Narrow" w:hAnsi="Arial Narrow"/>
        </w:rPr>
        <w:t xml:space="preserve">00 </w:t>
      </w:r>
      <w:r w:rsidRPr="0043058D">
        <w:rPr>
          <w:rFonts w:ascii="Arial Narrow" w:hAnsi="Arial Narrow"/>
        </w:rPr>
        <w:t>HUF (€1.</w:t>
      </w:r>
      <w:r>
        <w:rPr>
          <w:rFonts w:ascii="Arial Narrow" w:hAnsi="Arial Narrow"/>
        </w:rPr>
        <w:t>266</w:t>
      </w:r>
      <w:r w:rsidRPr="0043058D">
        <w:rPr>
          <w:rFonts w:ascii="Arial Narrow" w:hAnsi="Arial Narrow"/>
        </w:rPr>
        <w:t>)</w:t>
      </w:r>
      <w:r>
        <w:rPr>
          <w:rFonts w:ascii="Arial Narrow" w:hAnsi="Arial Narrow"/>
        </w:rPr>
        <w:t>, αυξημένος κατά 10</w:t>
      </w:r>
      <w:r w:rsidRPr="00E82C3A">
        <w:rPr>
          <w:rFonts w:ascii="Arial Narrow" w:hAnsi="Arial Narrow"/>
        </w:rPr>
        <w:t>,</w:t>
      </w:r>
      <w:r>
        <w:rPr>
          <w:rFonts w:ascii="Arial Narrow" w:hAnsi="Arial Narrow"/>
        </w:rPr>
        <w:t>6</w:t>
      </w:r>
      <w:r w:rsidRPr="00E82C3A">
        <w:rPr>
          <w:rFonts w:ascii="Arial Narrow" w:hAnsi="Arial Narrow"/>
        </w:rPr>
        <w:t xml:space="preserve">% σε σχέση </w:t>
      </w:r>
      <w:r>
        <w:rPr>
          <w:rFonts w:ascii="Arial Narrow" w:hAnsi="Arial Narrow"/>
        </w:rPr>
        <w:t xml:space="preserve">με τον αντίστοιχο μήνα του 2019. Την ίδια χρονική περίοδο, αντίστοιχη (10,6%), ήταν και η αύξηση του </w:t>
      </w:r>
      <w:r w:rsidRPr="00E82C3A">
        <w:rPr>
          <w:rFonts w:ascii="Arial Narrow" w:hAnsi="Arial Narrow"/>
        </w:rPr>
        <w:t>μέσο</w:t>
      </w:r>
      <w:r>
        <w:rPr>
          <w:rFonts w:ascii="Arial Narrow" w:hAnsi="Arial Narrow"/>
        </w:rPr>
        <w:t>υ</w:t>
      </w:r>
      <w:r w:rsidRPr="00E82C3A">
        <w:rPr>
          <w:rFonts w:ascii="Arial Narrow" w:hAnsi="Arial Narrow"/>
        </w:rPr>
        <w:t xml:space="preserve"> μηνιαίο</w:t>
      </w:r>
      <w:r>
        <w:rPr>
          <w:rFonts w:ascii="Arial Narrow" w:hAnsi="Arial Narrow"/>
        </w:rPr>
        <w:t>υ</w:t>
      </w:r>
      <w:r w:rsidRPr="00E82C3A">
        <w:rPr>
          <w:rFonts w:ascii="Arial Narrow" w:hAnsi="Arial Narrow"/>
        </w:rPr>
        <w:t xml:space="preserve"> καθαρ</w:t>
      </w:r>
      <w:r>
        <w:rPr>
          <w:rFonts w:ascii="Arial Narrow" w:hAnsi="Arial Narrow"/>
        </w:rPr>
        <w:t>ού</w:t>
      </w:r>
      <w:r w:rsidRPr="00E82C3A">
        <w:rPr>
          <w:rFonts w:ascii="Arial Narrow" w:hAnsi="Arial Narrow"/>
        </w:rPr>
        <w:t xml:space="preserve"> μισθ</w:t>
      </w:r>
      <w:r>
        <w:rPr>
          <w:rFonts w:ascii="Arial Narrow" w:hAnsi="Arial Narrow"/>
        </w:rPr>
        <w:t>ού, ο οποίος ανήλθε σε 298</w:t>
      </w:r>
      <w:r w:rsidRPr="00E82C3A">
        <w:rPr>
          <w:rFonts w:ascii="Arial Narrow" w:hAnsi="Arial Narrow"/>
        </w:rPr>
        <w:t>.</w:t>
      </w:r>
      <w:r>
        <w:rPr>
          <w:rFonts w:ascii="Arial Narrow" w:hAnsi="Arial Narrow"/>
        </w:rPr>
        <w:t>9</w:t>
      </w:r>
      <w:r w:rsidRPr="00E82C3A">
        <w:rPr>
          <w:rFonts w:ascii="Arial Narrow" w:hAnsi="Arial Narrow"/>
        </w:rPr>
        <w:t xml:space="preserve">00 </w:t>
      </w:r>
      <w:r w:rsidRPr="0043058D">
        <w:rPr>
          <w:rFonts w:ascii="Arial Narrow" w:hAnsi="Arial Narrow"/>
        </w:rPr>
        <w:t>HUF (€</w:t>
      </w:r>
      <w:r>
        <w:rPr>
          <w:rFonts w:ascii="Arial Narrow" w:hAnsi="Arial Narrow"/>
        </w:rPr>
        <w:t>842</w:t>
      </w:r>
      <w:r w:rsidRPr="0043058D">
        <w:rPr>
          <w:rFonts w:ascii="Arial Narrow" w:hAnsi="Arial Narrow"/>
        </w:rPr>
        <w:t>). Σε ετήσια βάση</w:t>
      </w:r>
      <w:r>
        <w:rPr>
          <w:rFonts w:ascii="Arial Narrow" w:hAnsi="Arial Narrow"/>
        </w:rPr>
        <w:t xml:space="preserve">, </w:t>
      </w:r>
      <w:r w:rsidRPr="00E82C3A">
        <w:rPr>
          <w:rFonts w:ascii="Arial Narrow" w:hAnsi="Arial Narrow"/>
        </w:rPr>
        <w:t xml:space="preserve">οι </w:t>
      </w:r>
      <w:r>
        <w:rPr>
          <w:rFonts w:ascii="Arial Narrow" w:hAnsi="Arial Narrow"/>
        </w:rPr>
        <w:t>μεικτοί μισθοί αυξήθηκαν κατά 9</w:t>
      </w:r>
      <w:r w:rsidRPr="00E82C3A">
        <w:rPr>
          <w:rFonts w:ascii="Arial Narrow" w:hAnsi="Arial Narrow"/>
        </w:rPr>
        <w:t>,</w:t>
      </w:r>
      <w:r>
        <w:rPr>
          <w:rFonts w:ascii="Arial Narrow" w:hAnsi="Arial Narrow"/>
        </w:rPr>
        <w:t>7</w:t>
      </w:r>
      <w:r w:rsidRPr="00E82C3A">
        <w:rPr>
          <w:rFonts w:ascii="Arial Narrow" w:hAnsi="Arial Narrow"/>
        </w:rPr>
        <w:t xml:space="preserve">% σε </w:t>
      </w:r>
      <w:r>
        <w:rPr>
          <w:rFonts w:ascii="Arial Narrow" w:hAnsi="Arial Narrow"/>
        </w:rPr>
        <w:t>40</w:t>
      </w:r>
      <w:r w:rsidRPr="00E82C3A">
        <w:rPr>
          <w:rFonts w:ascii="Arial Narrow" w:hAnsi="Arial Narrow"/>
        </w:rPr>
        <w:t>3.</w:t>
      </w:r>
      <w:r>
        <w:rPr>
          <w:rFonts w:ascii="Arial Narrow" w:hAnsi="Arial Narrow"/>
        </w:rPr>
        <w:t>6</w:t>
      </w:r>
      <w:r w:rsidRPr="00E82C3A">
        <w:rPr>
          <w:rFonts w:ascii="Arial Narrow" w:hAnsi="Arial Narrow"/>
        </w:rPr>
        <w:t>00</w:t>
      </w:r>
      <w:r w:rsidRPr="0043058D">
        <w:rPr>
          <w:rFonts w:ascii="Arial Narrow" w:hAnsi="Arial Narrow"/>
        </w:rPr>
        <w:t xml:space="preserve"> HUF (€1.1</w:t>
      </w:r>
      <w:r>
        <w:rPr>
          <w:rFonts w:ascii="Arial Narrow" w:hAnsi="Arial Narrow"/>
        </w:rPr>
        <w:t>37</w:t>
      </w:r>
      <w:r w:rsidRPr="0043058D">
        <w:rPr>
          <w:rFonts w:ascii="Arial Narrow" w:hAnsi="Arial Narrow"/>
        </w:rPr>
        <w:t>)</w:t>
      </w:r>
      <w:r>
        <w:rPr>
          <w:rFonts w:ascii="Arial Narrow" w:hAnsi="Arial Narrow"/>
        </w:rPr>
        <w:t xml:space="preserve"> και </w:t>
      </w:r>
      <w:r w:rsidRPr="00E82C3A">
        <w:rPr>
          <w:rFonts w:ascii="Arial Narrow" w:hAnsi="Arial Narrow"/>
        </w:rPr>
        <w:t>οι καθαροί μισθοί</w:t>
      </w:r>
      <w:r>
        <w:rPr>
          <w:rFonts w:ascii="Arial Narrow" w:hAnsi="Arial Narrow"/>
        </w:rPr>
        <w:t xml:space="preserve"> κατά 9,7% σε 268.400</w:t>
      </w:r>
      <w:r w:rsidRPr="00434AC9">
        <w:rPr>
          <w:rFonts w:ascii="Arial Narrow" w:hAnsi="Arial Narrow"/>
        </w:rPr>
        <w:t xml:space="preserve"> </w:t>
      </w:r>
      <w:r w:rsidRPr="0043058D">
        <w:rPr>
          <w:rFonts w:ascii="Arial Narrow" w:hAnsi="Arial Narrow"/>
        </w:rPr>
        <w:t>HUF</w:t>
      </w:r>
      <w:r>
        <w:rPr>
          <w:rFonts w:ascii="Arial Narrow" w:hAnsi="Arial Narrow"/>
        </w:rPr>
        <w:t xml:space="preserve"> (</w:t>
      </w:r>
      <w:r w:rsidRPr="0043058D">
        <w:rPr>
          <w:rFonts w:ascii="Arial Narrow" w:hAnsi="Arial Narrow"/>
        </w:rPr>
        <w:t>€</w:t>
      </w:r>
      <w:r>
        <w:rPr>
          <w:rFonts w:ascii="Arial Narrow" w:hAnsi="Arial Narrow"/>
        </w:rPr>
        <w:t>756)</w:t>
      </w:r>
      <w:r w:rsidRPr="0043058D">
        <w:rPr>
          <w:rFonts w:ascii="Arial Narrow" w:hAnsi="Arial Narrow"/>
        </w:rPr>
        <w:t>.</w:t>
      </w:r>
      <w:r>
        <w:rPr>
          <w:rFonts w:ascii="Arial Narrow" w:hAnsi="Arial Narrow"/>
        </w:rPr>
        <w:t xml:space="preserve"> Η αγοραστική δύναμη των μισθών αυξήθηκε κατά 6,2%. Εντούτοις, η διαφορά μεταξύ του μέσου μισθού </w:t>
      </w:r>
      <w:r w:rsidRPr="00434AC9">
        <w:rPr>
          <w:rFonts w:ascii="Arial Narrow" w:hAnsi="Arial Narrow"/>
        </w:rPr>
        <w:t>(</w:t>
      </w:r>
      <w:r w:rsidRPr="00D829C6">
        <w:rPr>
          <w:rFonts w:ascii="Arial Narrow" w:hAnsi="Arial Narrow"/>
        </w:rPr>
        <w:t>average</w:t>
      </w:r>
      <w:r w:rsidRPr="00434AC9">
        <w:rPr>
          <w:rFonts w:ascii="Arial Narrow" w:hAnsi="Arial Narrow"/>
        </w:rPr>
        <w:t xml:space="preserve"> </w:t>
      </w:r>
      <w:r w:rsidRPr="00D829C6">
        <w:rPr>
          <w:rFonts w:ascii="Arial Narrow" w:hAnsi="Arial Narrow"/>
        </w:rPr>
        <w:t>wage</w:t>
      </w:r>
      <w:r w:rsidRPr="00434AC9">
        <w:rPr>
          <w:rFonts w:ascii="Arial Narrow" w:hAnsi="Arial Narrow"/>
        </w:rPr>
        <w:t xml:space="preserve">) </w:t>
      </w:r>
      <w:r>
        <w:rPr>
          <w:rFonts w:ascii="Arial Narrow" w:hAnsi="Arial Narrow"/>
        </w:rPr>
        <w:t>και της διάμεσης τιμής αμοιβής (</w:t>
      </w:r>
      <w:r w:rsidRPr="00D829C6">
        <w:rPr>
          <w:rFonts w:ascii="Arial Narrow" w:hAnsi="Arial Narrow"/>
        </w:rPr>
        <w:t>median</w:t>
      </w:r>
      <w:r w:rsidRPr="00434AC9">
        <w:rPr>
          <w:rFonts w:ascii="Arial Narrow" w:hAnsi="Arial Narrow"/>
        </w:rPr>
        <w:t xml:space="preserve"> </w:t>
      </w:r>
      <w:r w:rsidRPr="00D829C6">
        <w:rPr>
          <w:rFonts w:ascii="Arial Narrow" w:hAnsi="Arial Narrow"/>
        </w:rPr>
        <w:t>wage</w:t>
      </w:r>
      <w:r w:rsidRPr="00434AC9">
        <w:rPr>
          <w:rFonts w:ascii="Arial Narrow" w:hAnsi="Arial Narrow"/>
        </w:rPr>
        <w:t xml:space="preserve">), </w:t>
      </w:r>
      <w:r>
        <w:rPr>
          <w:rFonts w:ascii="Arial Narrow" w:hAnsi="Arial Narrow"/>
        </w:rPr>
        <w:t xml:space="preserve">διευρύνθηκε ακόμη περισσότερο. Το 2019 ο μέσος μισθός διαμορφώθηκε στα </w:t>
      </w:r>
      <w:r w:rsidRPr="00D829C6">
        <w:rPr>
          <w:rFonts w:ascii="Arial Narrow" w:hAnsi="Arial Narrow"/>
        </w:rPr>
        <w:t>367,000</w:t>
      </w:r>
      <w:r w:rsidRPr="00434AC9">
        <w:rPr>
          <w:rFonts w:ascii="Arial Narrow" w:hAnsi="Arial Narrow"/>
        </w:rPr>
        <w:t xml:space="preserve"> </w:t>
      </w:r>
      <w:r w:rsidRPr="0043058D">
        <w:rPr>
          <w:rFonts w:ascii="Arial Narrow" w:hAnsi="Arial Narrow"/>
        </w:rPr>
        <w:t>HUF</w:t>
      </w:r>
      <w:r>
        <w:rPr>
          <w:rFonts w:ascii="Arial Narrow" w:hAnsi="Arial Narrow"/>
        </w:rPr>
        <w:t xml:space="preserve"> (€1.034</w:t>
      </w:r>
      <w:r w:rsidRPr="0043058D">
        <w:rPr>
          <w:rFonts w:ascii="Arial Narrow" w:hAnsi="Arial Narrow"/>
        </w:rPr>
        <w:t>)</w:t>
      </w:r>
      <w:r>
        <w:rPr>
          <w:rFonts w:ascii="Arial Narrow" w:hAnsi="Arial Narrow"/>
        </w:rPr>
        <w:t xml:space="preserve"> και ο διάμεσος μισθός στα 292.300 </w:t>
      </w:r>
      <w:r w:rsidRPr="0043058D">
        <w:rPr>
          <w:rFonts w:ascii="Arial Narrow" w:hAnsi="Arial Narrow"/>
        </w:rPr>
        <w:t>HUF</w:t>
      </w:r>
      <w:r>
        <w:rPr>
          <w:rFonts w:ascii="Arial Narrow" w:hAnsi="Arial Narrow"/>
        </w:rPr>
        <w:t xml:space="preserve"> </w:t>
      </w:r>
      <w:r w:rsidRPr="0043058D">
        <w:rPr>
          <w:rFonts w:ascii="Arial Narrow" w:hAnsi="Arial Narrow"/>
        </w:rPr>
        <w:t>(€</w:t>
      </w:r>
      <w:r>
        <w:rPr>
          <w:rFonts w:ascii="Arial Narrow" w:hAnsi="Arial Narrow"/>
        </w:rPr>
        <w:t>823</w:t>
      </w:r>
      <w:r w:rsidRPr="0043058D">
        <w:rPr>
          <w:rFonts w:ascii="Arial Narrow" w:hAnsi="Arial Narrow"/>
        </w:rPr>
        <w:t>)</w:t>
      </w:r>
      <w:r>
        <w:rPr>
          <w:rFonts w:ascii="Arial Narrow" w:hAnsi="Arial Narrow"/>
        </w:rPr>
        <w:t>, που σημαίνει ότι το μισό εργατικό δυναμικό αμείφθηκε με λιγότερα χρήματα. Η σημειωθείσα αύξηση των μισθών δεν αποτελεί έκπληξη για τους οικονομικούς αναλυτές, δεδομένης της αύξησης του κατώτατου μισθού και της έκτακτης αποζημίωσης των υπαλλήλων του κλάδου υγείας. Εξαιτίας της πανδημίας, η διάμεση τιμή αμοιβής στην ΕΕ μειώθηκε κατά 5,2%, ενώ ο αντίστοιχος ρυθμός μείωσης στην Ουγγαρία ήταν μικρότερος (τα ακριβή στοιχεία δεν έχουν δημοσιοποιηθεί). Εντούτοις, παρά την μικρότερη σχετικά μείωση, τα χαμηλότερα εισοδηματικά στρώματα του πληθυσμού επλήγησαν περισσότερο. Σύμφωνα με ανάλυση του Ιδρύματος Οικονομικών Ερευνών  «</w:t>
      </w:r>
      <w:r w:rsidRPr="004136B7">
        <w:rPr>
          <w:rFonts w:ascii="Arial Narrow" w:hAnsi="Arial Narrow"/>
        </w:rPr>
        <w:t>Oeconomicus», στους χαμηλότερα αμειβόμενους, η μείωση υπολογίζεται σε 4%</w:t>
      </w:r>
      <w:r>
        <w:rPr>
          <w:rFonts w:ascii="Arial Narrow" w:hAnsi="Arial Narrow"/>
        </w:rPr>
        <w:t xml:space="preserve">, σε αυτούς που ανήκουν στη μεσαία κατηγορία σε 2% και στους υψηλότερα αμειβόμενους σε 1%. Τέλος, πολλοί αναλυτές αναμένουν ότι οι πραγματικοί μισθοί θα σημειώσουν κάμψη το 2021, κυρίως εξαιτίας της αναμενόμενης αύξησης του πληθωρισμού. </w:t>
      </w:r>
    </w:p>
    <w:p w:rsidR="003904E5" w:rsidRDefault="003904E5" w:rsidP="00CC44F6">
      <w:pPr>
        <w:ind w:left="720"/>
        <w:jc w:val="both"/>
        <w:rPr>
          <w:rFonts w:ascii="Arial Narrow" w:hAnsi="Arial Narrow" w:cs="Arial"/>
          <w:sz w:val="18"/>
          <w:szCs w:val="18"/>
        </w:rPr>
      </w:pPr>
    </w:p>
    <w:p w:rsidR="003904E5" w:rsidRDefault="003904E5" w:rsidP="00CC44F6">
      <w:pPr>
        <w:ind w:left="720"/>
        <w:jc w:val="both"/>
        <w:rPr>
          <w:rFonts w:ascii="Arial Narrow" w:hAnsi="Arial Narrow" w:cs="Arial"/>
          <w:sz w:val="18"/>
          <w:szCs w:val="18"/>
        </w:rPr>
      </w:pPr>
    </w:p>
    <w:p w:rsidR="00CC44F6" w:rsidRPr="00794A2E" w:rsidRDefault="00794A2E" w:rsidP="00794A2E">
      <w:pPr>
        <w:numPr>
          <w:ilvl w:val="0"/>
          <w:numId w:val="3"/>
        </w:numPr>
        <w:tabs>
          <w:tab w:val="num" w:pos="180"/>
        </w:tabs>
        <w:ind w:left="0" w:firstLine="0"/>
        <w:jc w:val="both"/>
        <w:rPr>
          <w:rFonts w:ascii="Arial Narrow" w:hAnsi="Arial Narrow"/>
          <w:u w:val="single"/>
        </w:rPr>
      </w:pPr>
      <w:r w:rsidRPr="00794A2E">
        <w:rPr>
          <w:rFonts w:ascii="Arial Narrow" w:hAnsi="Arial Narrow"/>
          <w:u w:val="single"/>
        </w:rPr>
        <w:t>Δάνειο της Ευρωπαϊκής Τράπεζας Επενδύσεων για αναθέρμανση της ουγγρικής οικονομίας</w:t>
      </w:r>
    </w:p>
    <w:p w:rsidR="00794A2E" w:rsidRDefault="00794A2E" w:rsidP="00794A2E">
      <w:pPr>
        <w:jc w:val="both"/>
        <w:rPr>
          <w:rFonts w:ascii="Arial Narrow" w:hAnsi="Arial Narrow" w:cs="Calibri"/>
        </w:rPr>
      </w:pPr>
      <w:r w:rsidRPr="00794A2E">
        <w:rPr>
          <w:rFonts w:ascii="Arial Narrow" w:hAnsi="Arial Narrow" w:cs="Calibri"/>
        </w:rPr>
        <w:t xml:space="preserve">Σύμφωνα με ανακοίνωση της Ευρωπαϊκής Τράπεζας Επενδύσεων, ποσό ύψους </w:t>
      </w:r>
      <w:r w:rsidRPr="00F621DF">
        <w:rPr>
          <w:rFonts w:ascii="Arial Narrow" w:hAnsi="Arial Narrow" w:cs="Calibri"/>
        </w:rPr>
        <w:t>€200</w:t>
      </w:r>
      <w:r>
        <w:rPr>
          <w:rFonts w:ascii="Arial Narrow" w:hAnsi="Arial Narrow" w:cs="Calibri"/>
        </w:rPr>
        <w:t xml:space="preserve"> εκ. θα χορηγηθεί, υπό μορφή δανείου, στην κρατική Τράπεζα Προώθησης Εξαγωγών-Εισαγωγών Ουγγαρίας (</w:t>
      </w:r>
      <w:r w:rsidRPr="00F621DF">
        <w:rPr>
          <w:rFonts w:ascii="Arial Narrow" w:hAnsi="Arial Narrow" w:cs="Calibri"/>
        </w:rPr>
        <w:t>Eximbank),</w:t>
      </w:r>
      <w:r>
        <w:rPr>
          <w:rFonts w:ascii="Arial Narrow" w:hAnsi="Arial Narrow" w:cs="Calibri"/>
        </w:rPr>
        <w:t xml:space="preserve"> για την αντιμετώπιση των οικονομικών επιπτώσεων της πανδημίας </w:t>
      </w:r>
      <w:r w:rsidRPr="00794A2E">
        <w:rPr>
          <w:rFonts w:ascii="Arial Narrow" w:hAnsi="Arial Narrow" w:cs="Calibri"/>
        </w:rPr>
        <w:t>Covid</w:t>
      </w:r>
      <w:r w:rsidRPr="00F621DF">
        <w:rPr>
          <w:rFonts w:ascii="Arial Narrow" w:hAnsi="Arial Narrow" w:cs="Calibri"/>
        </w:rPr>
        <w:t>-19</w:t>
      </w:r>
      <w:r>
        <w:rPr>
          <w:rFonts w:ascii="Arial Narrow" w:hAnsi="Arial Narrow" w:cs="Calibri"/>
        </w:rPr>
        <w:t xml:space="preserve"> και την αναθέρμανση της ουγγρικής οικονομίας. Πρόκειται για την τέταρτη κατά σειρά συμφωνία μεταξύ ΕΤΕ και </w:t>
      </w:r>
      <w:r w:rsidRPr="00794A2E">
        <w:rPr>
          <w:rFonts w:ascii="Arial Narrow" w:hAnsi="Arial Narrow" w:cs="Calibri"/>
        </w:rPr>
        <w:t>Eximbank</w:t>
      </w:r>
      <w:r>
        <w:rPr>
          <w:rFonts w:ascii="Arial Narrow" w:hAnsi="Arial Narrow" w:cs="Calibri"/>
        </w:rPr>
        <w:t xml:space="preserve">, που αφορά σε δέσμευση κονδυλίων για χρηματοδότηση ουγγρικών εταιρειών, δήλωσε ο Διευθύνων Σύμβουλος της </w:t>
      </w:r>
      <w:r w:rsidRPr="00794A2E">
        <w:rPr>
          <w:rFonts w:ascii="Arial Narrow" w:hAnsi="Arial Narrow" w:cs="Calibri"/>
        </w:rPr>
        <w:t>Eximbank</w:t>
      </w:r>
      <w:r>
        <w:rPr>
          <w:rFonts w:ascii="Arial Narrow" w:hAnsi="Arial Narrow" w:cs="Calibri"/>
        </w:rPr>
        <w:t xml:space="preserve">, κ. </w:t>
      </w:r>
      <w:r w:rsidRPr="00794A2E">
        <w:rPr>
          <w:rFonts w:ascii="Arial Narrow" w:hAnsi="Arial Narrow" w:cs="Calibri"/>
        </w:rPr>
        <w:t>Gergely</w:t>
      </w:r>
      <w:r w:rsidRPr="00F621DF">
        <w:rPr>
          <w:rFonts w:ascii="Arial Narrow" w:hAnsi="Arial Narrow" w:cs="Calibri"/>
        </w:rPr>
        <w:t xml:space="preserve"> </w:t>
      </w:r>
      <w:r w:rsidRPr="00794A2E">
        <w:rPr>
          <w:rFonts w:ascii="Arial Narrow" w:hAnsi="Arial Narrow" w:cs="Calibri"/>
        </w:rPr>
        <w:t>J</w:t>
      </w:r>
      <w:r w:rsidRPr="00F621DF">
        <w:rPr>
          <w:rFonts w:ascii="Arial Narrow" w:hAnsi="Arial Narrow" w:cs="Calibri"/>
        </w:rPr>
        <w:t>á</w:t>
      </w:r>
      <w:r w:rsidRPr="00794A2E">
        <w:rPr>
          <w:rFonts w:ascii="Arial Narrow" w:hAnsi="Arial Narrow" w:cs="Calibri"/>
        </w:rPr>
        <w:t>kli</w:t>
      </w:r>
      <w:r w:rsidRPr="00F621DF">
        <w:rPr>
          <w:rFonts w:ascii="Arial Narrow" w:hAnsi="Arial Narrow" w:cs="Calibri"/>
        </w:rPr>
        <w:t>.</w:t>
      </w:r>
      <w:r>
        <w:rPr>
          <w:rFonts w:ascii="Arial Narrow" w:hAnsi="Arial Narrow" w:cs="Calibri"/>
        </w:rPr>
        <w:t xml:space="preserve"> Το συγκεκριμένο δάνειο, συμπλήρωσε, θα διατεθεί για την αντιμετώπιση προβλημάτων που ανακύπτουν από την έλλειψη κεφαλαίου κίνησης των εταιρειών, και για τη χρηματοδότηση επενδύσεων παγίου κεφαλαίου. Η αντιπρόεδρος της ΕΤΕ, κα </w:t>
      </w:r>
      <w:r w:rsidRPr="00794A2E">
        <w:rPr>
          <w:rFonts w:ascii="Arial Narrow" w:hAnsi="Arial Narrow" w:cs="Calibri"/>
        </w:rPr>
        <w:t>Teresa</w:t>
      </w:r>
      <w:r w:rsidRPr="00687E7D">
        <w:rPr>
          <w:rFonts w:ascii="Arial Narrow" w:hAnsi="Arial Narrow" w:cs="Calibri"/>
        </w:rPr>
        <w:t xml:space="preserve"> </w:t>
      </w:r>
      <w:r w:rsidRPr="00794A2E">
        <w:rPr>
          <w:rFonts w:ascii="Arial Narrow" w:hAnsi="Arial Narrow" w:cs="Calibri"/>
        </w:rPr>
        <w:t>Czerwinska</w:t>
      </w:r>
      <w:r w:rsidRPr="00687E7D">
        <w:rPr>
          <w:rFonts w:ascii="Arial Narrow" w:hAnsi="Arial Narrow" w:cs="Calibri"/>
        </w:rPr>
        <w:t>,</w:t>
      </w:r>
      <w:r>
        <w:rPr>
          <w:rFonts w:ascii="Arial Narrow" w:hAnsi="Arial Narrow" w:cs="Calibri"/>
        </w:rPr>
        <w:t xml:space="preserve"> αρμόδια για Ουγγαρία, Πολωνία και Κροατία, σε σχετικές δηλώσεις της, υποστήριξε ότι η πανδημία έπληξε ιδιαιτέρως σοβαρά της μικρομεσαίες ουγγρικές επιχειρήσεις, και δεδομένου ότι αυτές απασχολούν το μεγαλύτερο μέρος του εργατικού δυναμικού της χώρας, η ΕΤΕ αποφάσισε να τις στηρίξει προκειμένου να διατηρηθούν στο ακέραιο οι θέσεις εργασίας και να αναμοχλευτεί η οικονομία. Συμπλήρωσε, ότι τα δάνεια αυτού του είδους, είναι απαραίτητα για την μακροπρόθεσμη οικονομική ανάπτυξη της Ουγγαρίας, αλλά και της ΕΕ και για το λόγο αυτό, αποτελούν προτεραιότητα της ΕΤΕ. Αξίζει να σημειωθεί, ότι μέχρι σήμερα, η ΕΤΕ έχει επενδύσει, συνολικά, περισσότερα από €5,</w:t>
      </w:r>
      <w:r w:rsidRPr="00F621DF">
        <w:rPr>
          <w:rFonts w:ascii="Arial Narrow" w:hAnsi="Arial Narrow" w:cs="Calibri"/>
        </w:rPr>
        <w:t>3</w:t>
      </w:r>
      <w:r>
        <w:rPr>
          <w:rFonts w:ascii="Arial Narrow" w:hAnsi="Arial Narrow" w:cs="Calibri"/>
        </w:rPr>
        <w:t xml:space="preserve"> δισεκ. σε εταιρείες με έδρα την Ουγγαρία. </w:t>
      </w:r>
    </w:p>
    <w:p w:rsidR="00986284" w:rsidRDefault="00986284" w:rsidP="00794A2E">
      <w:pPr>
        <w:jc w:val="both"/>
        <w:rPr>
          <w:rFonts w:ascii="Arial Narrow" w:hAnsi="Arial Narrow" w:cs="Calibri"/>
        </w:rPr>
      </w:pPr>
    </w:p>
    <w:p w:rsidR="00986284" w:rsidRPr="00986284" w:rsidRDefault="00986284" w:rsidP="00986284">
      <w:pPr>
        <w:numPr>
          <w:ilvl w:val="0"/>
          <w:numId w:val="3"/>
        </w:numPr>
        <w:tabs>
          <w:tab w:val="num" w:pos="180"/>
        </w:tabs>
        <w:ind w:left="0" w:firstLine="0"/>
        <w:jc w:val="both"/>
        <w:rPr>
          <w:rFonts w:ascii="Arial Narrow" w:hAnsi="Arial Narrow"/>
          <w:u w:val="single"/>
        </w:rPr>
      </w:pPr>
      <w:r w:rsidRPr="00986284">
        <w:rPr>
          <w:rFonts w:ascii="Arial Narrow" w:hAnsi="Arial Narrow"/>
          <w:u w:val="single"/>
        </w:rPr>
        <w:t>Αύξηση του κρατικού χρέους της Ουγγαρίας</w:t>
      </w:r>
    </w:p>
    <w:p w:rsidR="00986284" w:rsidRPr="00986284" w:rsidRDefault="00986284" w:rsidP="00986284">
      <w:pPr>
        <w:jc w:val="both"/>
        <w:rPr>
          <w:rFonts w:ascii="Arial Narrow" w:hAnsi="Arial Narrow" w:cs="Calibri"/>
        </w:rPr>
      </w:pPr>
      <w:r w:rsidRPr="00986284">
        <w:rPr>
          <w:rFonts w:ascii="Arial Narrow" w:hAnsi="Arial Narrow" w:cs="Calibri"/>
        </w:rPr>
        <w:t xml:space="preserve">Σύμφωνα με ανακοίνωση του Υπουργείου Οικονομικών, το χρέος της χώρας άγγιξε το 81,2% του ΑΕΠ, στα τέλη του 2020, το υψηλότερο ποσοστό της τελευταίας 25-ετίας. Σημειώνουμε ότι το 2011, το χρέος της χώρας ήταν στο 80,4% του ΑΕΠ και προοδευτικά μειώθηκε στο 65,4% του ΑΕΠ το 2019. Τον Σεπτέμβριο 2020, υπολογίστηκε στο 74,3% του ΑΕΠ για να αυξηθεί ακόμα περισσότερο το τελευταίο τρίμηνο 2020. Συνολικά, εντός του 2020, το ποσοστό χρέους ως προς το ΑΕΠ, αυξήθηκε κατά 15,8 ποσοστιαίες μονάδες (η μεγαλύτερη ετήσια αύξηση που έχει σημειωθεί ποτέ), όταν το 1993 είχε αυξηθεί κατά 11,6 ποσοστιαίες μονάδες και το 1991 κατά 10,3 ποσοστιαίες μονάδες. Εντούτοις, όπως υπογραμμίζεται στην ανακοίνωση του Υπουργείου Οικονομικών, η αύξηση κατά 15,8 ποσοστιαίες μονάδες, είναι οριακά μόνο μεγαλύτερη του μέσου όρου αύξησης τους χρέους στην ΕΕ, αν και σημαντικά υψηλότερη σε σύγκριση με την αντίστοιχη αύξηση στις χώρες Βίζεγκραντ. Στην ίδια ανακοίνωση, το Υπουργείο Οικονομικών εκτιμά ότι το ΑΕΠ της χώρας για το 2020 μειώθηκε κατά 6,4% σε σχέση με το 2019 και ότι το έλλειμμα διαμορφώθηκε στο 8,6% του ΑΕΠ. </w:t>
      </w:r>
    </w:p>
    <w:p w:rsidR="00986284" w:rsidRDefault="00986284" w:rsidP="00794A2E">
      <w:pPr>
        <w:jc w:val="both"/>
        <w:rPr>
          <w:rFonts w:ascii="Arial Narrow" w:hAnsi="Arial Narrow" w:cs="Calibri"/>
        </w:rPr>
      </w:pPr>
    </w:p>
    <w:p w:rsidR="00986284" w:rsidRPr="00B23120" w:rsidRDefault="00B23120" w:rsidP="00B23120">
      <w:pPr>
        <w:numPr>
          <w:ilvl w:val="0"/>
          <w:numId w:val="3"/>
        </w:numPr>
        <w:tabs>
          <w:tab w:val="num" w:pos="180"/>
        </w:tabs>
        <w:ind w:left="0" w:firstLine="0"/>
        <w:jc w:val="both"/>
        <w:rPr>
          <w:rFonts w:ascii="Arial Narrow" w:hAnsi="Arial Narrow"/>
          <w:u w:val="single"/>
        </w:rPr>
      </w:pPr>
      <w:r w:rsidRPr="00B23120">
        <w:rPr>
          <w:rFonts w:ascii="Arial Narrow" w:hAnsi="Arial Narrow"/>
          <w:u w:val="single"/>
        </w:rPr>
        <w:t>Προβλέψεις Κεντρικής Τράπεζας για το 2021</w:t>
      </w:r>
    </w:p>
    <w:p w:rsidR="00B23120" w:rsidRPr="00B23120" w:rsidRDefault="00B23120" w:rsidP="00B23120">
      <w:pPr>
        <w:jc w:val="both"/>
        <w:rPr>
          <w:rFonts w:ascii="Arial Narrow" w:hAnsi="Arial Narrow" w:cs="Calibri"/>
        </w:rPr>
      </w:pPr>
      <w:r w:rsidRPr="00B23120">
        <w:rPr>
          <w:rFonts w:ascii="Arial Narrow" w:hAnsi="Arial Narrow" w:cs="Calibri"/>
        </w:rPr>
        <w:t>Σύμφωνα με ανακοίνωση της Κεντρικής Τράπεζας Ουγγαρίας (ΜΝΒ), η οικονομία της χώρας αναμένεται να αυξηθεί με ρυθμό 6% το 2021, παρά τη συρρίκνωση που υπέστη το 2020 εξαιτίας της πανδημίας. Η ΜΝΒ εντόπισε 11 τομείς που πέτυχαν εξαιρετικές επιδόσεις εν μέσω κρίσης: υψηλή παροχή πιστώσεων προς επιχειρήσεις, υψηλός συντελεστής επενδύσεων παγίου κεφαλαίου προς ΑΕΠ, χαμηλός δείκτης ανεργίας, κατακόρυφη αύξηση μέσου μισθού, μείωση εργατικών φόρων, ειδική ρύθμιση για την αποπληρωμή δανείων, αυξημένη παροχή πιστώσεων προς νοικοκυριά, σχετικά χαμηλός ρυθμός μείωσης κατανάλωσης από τα νοικοκυριά σε σχέση με τον μέσο όρο στην ΕΕ, αυξημένος όγκος λιανικών πωλήσεων μέσω διαδικτύου. Επιπλέον, η ΝΜΒ κατάφερε σε πολύ μικρό χρονικό διάστημα να αυξήσει τα περιουσιακά της στοιχεία, με συνέπεια να αυξηθεί σημαντικά η ζήτηση για κρατικά ομόλογα.</w:t>
      </w:r>
    </w:p>
    <w:p w:rsidR="00B23120" w:rsidRPr="00B23120" w:rsidRDefault="00B23120" w:rsidP="00B23120">
      <w:pPr>
        <w:jc w:val="both"/>
        <w:rPr>
          <w:rFonts w:ascii="Arial Narrow" w:hAnsi="Arial Narrow" w:cs="Calibri"/>
        </w:rPr>
      </w:pPr>
      <w:r w:rsidRPr="00B23120">
        <w:rPr>
          <w:rFonts w:ascii="Arial Narrow" w:hAnsi="Arial Narrow" w:cs="Calibri"/>
        </w:rPr>
        <w:t xml:space="preserve">Εντούτοις, σύμφωνα πάντα με την ανακοίνωση, η ΜΝΒ εντόπισε και οκτώ τομείς στους οποίους η παρέμβαση είναι αναγκαία: χαμηλή κατανάλωση δημόσιου τομέα σε σχέση με άλλα κ-μ της ΕΕ, πτώση του συντελεστή κρατικών επενδύσεων παγίου κεφαλαίου προς ΑΕΠ, πτώση της προστιθέμενης αξίας στον κατασκευαστικό τομέα, κατάρρευση τουριστικού τομέα, μειωμένος αριθμός εργατών μερικής απασχόλησης, μικρή διάρκεια ανεξόφλητου κρατικού χρέους, χαμηλή χρηματοδότηση εγγυητικών προγραμμάτων και χαμηλός αριθμός εταιρειών που ασχολούνται με διαδικτυακό εμπόριο. </w:t>
      </w:r>
    </w:p>
    <w:p w:rsidR="00986284" w:rsidRDefault="00986284" w:rsidP="00794A2E">
      <w:pPr>
        <w:jc w:val="both"/>
        <w:rPr>
          <w:rFonts w:ascii="Arial Narrow" w:hAnsi="Arial Narrow" w:cs="Calibri"/>
        </w:rPr>
      </w:pPr>
    </w:p>
    <w:p w:rsidR="00912E8F" w:rsidRPr="00912E8F" w:rsidRDefault="00912E8F" w:rsidP="00912E8F">
      <w:pPr>
        <w:numPr>
          <w:ilvl w:val="0"/>
          <w:numId w:val="3"/>
        </w:numPr>
        <w:tabs>
          <w:tab w:val="num" w:pos="180"/>
        </w:tabs>
        <w:ind w:left="0" w:firstLine="0"/>
        <w:jc w:val="both"/>
        <w:rPr>
          <w:rFonts w:ascii="Arial Narrow" w:hAnsi="Arial Narrow"/>
          <w:u w:val="single"/>
        </w:rPr>
      </w:pPr>
      <w:r>
        <w:rPr>
          <w:rFonts w:ascii="Arial Narrow" w:hAnsi="Arial Narrow"/>
          <w:u w:val="single"/>
        </w:rPr>
        <w:t>Σταθερός ο πληθωρισμός</w:t>
      </w:r>
      <w:r w:rsidRPr="00912E8F">
        <w:rPr>
          <w:rFonts w:ascii="Arial Narrow" w:hAnsi="Arial Narrow"/>
          <w:u w:val="single"/>
        </w:rPr>
        <w:t xml:space="preserve"> τον Ιανουάριο 2021</w:t>
      </w:r>
    </w:p>
    <w:p w:rsidR="00912E8F" w:rsidRPr="00912E8F" w:rsidRDefault="00912E8F" w:rsidP="00912E8F">
      <w:pPr>
        <w:jc w:val="both"/>
        <w:rPr>
          <w:rFonts w:ascii="Arial Narrow" w:hAnsi="Arial Narrow" w:cs="Calibri"/>
        </w:rPr>
      </w:pPr>
      <w:r w:rsidRPr="00912E8F">
        <w:rPr>
          <w:rFonts w:ascii="Arial Narrow" w:hAnsi="Arial Narrow" w:cs="Calibri"/>
        </w:rPr>
        <w:t xml:space="preserve">Σύμφωνα με πρόσφατα στοιχεία της Εθνικής Στατιστικής Υπηρεσίας της Ουγγαρίας (KSH), ο πληθωρισμός, σε ετήσια βάση, τον Ιανουάριο 2021, παρέμεινε, για τρίτο συνεχόμενο μήνα, σταθερός στο </w:t>
      </w:r>
      <w:r>
        <w:rPr>
          <w:rFonts w:ascii="Arial Narrow" w:hAnsi="Arial Narrow" w:cs="Calibri"/>
        </w:rPr>
        <w:t>2,7%.</w:t>
      </w:r>
      <w:r w:rsidRPr="00912E8F">
        <w:rPr>
          <w:rFonts w:ascii="Arial Narrow" w:hAnsi="Arial Narrow" w:cs="Calibri"/>
        </w:rPr>
        <w:t xml:space="preserve"> Σε μηνιαία βάση, οι τιμές καταναλωτή εμφανίζονται ελαφρώς αυξημένες κατά 0,9% εξαιτίας της αύξηση του φόρου πολυτελείας. Ο δομικός πληθωρισμός, ο οποίος δεν περιλαμβάνει τα εποχιακά τρόφιμα και την ενέργεια, και άρα αποτελεί, ίσως, καλύτερη ένδειξη για τυχόν υποκείμενες πληθωριστικές πιέσεις στην οικονομία, αυξήθηκε από 4% τον Δεκέμβριο 2020 σε 4,2% τον Ιανουάριο 2021. Πρέπει να σημειωθεί ότι εξαιτίας της πανδημίας, το «καλάθι της νοικοκυράς» αναδιαμορφώθηκε τον Ιανουάριο, έτσι ώστε να μειωθεί το ειδικό βάρος των τουριστικών υπηρεσιών, των πολιτιστικών εκδηλώσεων και των υπηρεσιών εστίασης και τροφοδοσίας και να αυξηθεί αυτό των προϊόντων τροφίμων και καπνού. Τέλος, επισημαίνουμε ότι πολλοί αναλυτές εκτιμούν ότι εξαιτίας της αύξησης των τιμών καυσίμων, ο πληθωρισμός θα αυξηθεί σε περίπου 4% τους επόμενους μήνες, τιμή που ξεπερνά το όριο που έχει θέσει η Κεντρική Τράπεζα.</w:t>
      </w:r>
    </w:p>
    <w:p w:rsidR="00912E8F" w:rsidRPr="00912E8F" w:rsidRDefault="00912E8F" w:rsidP="00912E8F">
      <w:pPr>
        <w:jc w:val="both"/>
        <w:rPr>
          <w:rFonts w:ascii="Arial Narrow" w:hAnsi="Arial Narrow" w:cs="Calibr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2948"/>
        <w:gridCol w:w="2902"/>
      </w:tblGrid>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Πληθωρισμός: Ιανουάριος 2021</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Σε ετήσια βάση (%)</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Μηνιαία μεταβολή (%)</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Τρόφιμα</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3,9</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0,1</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Αλκοόλ και καπνός</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9,9</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2,3</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Ρουχισμός</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-2,1</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-2,8</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Διαρκή αγαθά</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3,1</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0,6</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Ενέργεια</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0,3</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0,1</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Άλλα αγαθά, καύσιμα</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-0,1</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1,6</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Υπηρεσίες</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1,7</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0,5</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Δομικός πληθωρισμός</w:t>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4,2</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0,7</w:t>
            </w:r>
          </w:p>
        </w:tc>
      </w:tr>
      <w:tr w:rsidR="00912E8F" w:rsidRPr="00912E8F" w:rsidTr="00CD65D4">
        <w:tc>
          <w:tcPr>
            <w:tcW w:w="3870" w:type="dxa"/>
          </w:tcPr>
          <w:p w:rsidR="00912E8F" w:rsidRPr="00912E8F" w:rsidRDefault="00912E8F" w:rsidP="00912E8F">
            <w:pPr>
              <w:jc w:val="both"/>
              <w:rPr>
                <w:rFonts w:ascii="Arial Narrow" w:hAnsi="Arial Narrow" w:cs="Calibri"/>
              </w:rPr>
            </w:pPr>
            <w:r w:rsidRPr="00912E8F">
              <w:rPr>
                <w:rFonts w:ascii="Arial Narrow" w:hAnsi="Arial Narrow" w:cs="Calibri"/>
              </w:rPr>
              <w:t>Σύνολο</w:t>
            </w:r>
            <w:r w:rsidRPr="00912E8F">
              <w:rPr>
                <w:rFonts w:ascii="Arial Narrow" w:hAnsi="Arial Narrow" w:cs="Calibri"/>
              </w:rPr>
              <w:tab/>
            </w:r>
          </w:p>
        </w:tc>
        <w:tc>
          <w:tcPr>
            <w:tcW w:w="2948" w:type="dxa"/>
          </w:tcPr>
          <w:p w:rsidR="00912E8F" w:rsidRPr="00912E8F" w:rsidRDefault="00912E8F" w:rsidP="00912E8F">
            <w:pPr>
              <w:jc w:val="center"/>
              <w:rPr>
                <w:rFonts w:ascii="Arial Narrow" w:hAnsi="Arial Narrow" w:cs="Calibri"/>
              </w:rPr>
            </w:pPr>
            <w:r w:rsidRPr="00912E8F">
              <w:rPr>
                <w:rFonts w:ascii="Arial Narrow" w:hAnsi="Arial Narrow" w:cs="Calibri"/>
              </w:rPr>
              <w:t>2,7</w:t>
            </w:r>
          </w:p>
        </w:tc>
        <w:tc>
          <w:tcPr>
            <w:tcW w:w="2902" w:type="dxa"/>
          </w:tcPr>
          <w:p w:rsidR="00912E8F" w:rsidRPr="00912E8F" w:rsidRDefault="00912E8F" w:rsidP="00912E8F">
            <w:pPr>
              <w:jc w:val="center"/>
              <w:rPr>
                <w:rFonts w:ascii="Arial Narrow" w:hAnsi="Arial Narrow" w:cs="Calibri"/>
              </w:rPr>
            </w:pPr>
            <w:r w:rsidRPr="00912E8F">
              <w:rPr>
                <w:rFonts w:ascii="Arial Narrow" w:hAnsi="Arial Narrow" w:cs="Calibri"/>
              </w:rPr>
              <w:t>0,9</w:t>
            </w:r>
          </w:p>
        </w:tc>
      </w:tr>
    </w:tbl>
    <w:p w:rsidR="00912E8F" w:rsidRPr="00912E8F" w:rsidRDefault="00912E8F" w:rsidP="00912E8F">
      <w:pPr>
        <w:jc w:val="both"/>
        <w:rPr>
          <w:rFonts w:ascii="Arial Narrow" w:hAnsi="Arial Narrow" w:cs="Calibri"/>
        </w:rPr>
      </w:pPr>
    </w:p>
    <w:p w:rsidR="00980398" w:rsidRDefault="00980398" w:rsidP="00794A2E">
      <w:pPr>
        <w:jc w:val="both"/>
        <w:rPr>
          <w:rFonts w:ascii="Arial Narrow" w:hAnsi="Arial Narrow"/>
          <w:lang w:val="en-US"/>
        </w:rPr>
      </w:pPr>
    </w:p>
    <w:p w:rsidR="00980398" w:rsidRDefault="00980398" w:rsidP="00794A2E">
      <w:pPr>
        <w:jc w:val="both"/>
        <w:rPr>
          <w:rFonts w:ascii="Arial Narrow" w:hAnsi="Arial Narrow"/>
          <w:lang w:val="en-US"/>
        </w:rPr>
      </w:pPr>
    </w:p>
    <w:p w:rsidR="00CC44F6" w:rsidRPr="00DE4DA9" w:rsidRDefault="00980398" w:rsidP="00980398">
      <w:pPr>
        <w:numPr>
          <w:ilvl w:val="0"/>
          <w:numId w:val="3"/>
        </w:numPr>
        <w:tabs>
          <w:tab w:val="num" w:pos="180"/>
        </w:tabs>
        <w:ind w:left="0" w:firstLine="0"/>
        <w:jc w:val="both"/>
        <w:rPr>
          <w:rFonts w:ascii="Arial Narrow" w:hAnsi="Arial Narrow"/>
          <w:u w:val="single"/>
          <w:lang w:val="en-US"/>
        </w:rPr>
      </w:pPr>
      <w:r w:rsidRPr="00980398">
        <w:rPr>
          <w:rFonts w:ascii="Arial Narrow" w:hAnsi="Arial Narrow"/>
          <w:u w:val="single"/>
        </w:rPr>
        <w:t>Αξιολόγηση</w:t>
      </w:r>
      <w:r w:rsidRPr="00DE4DA9">
        <w:rPr>
          <w:rFonts w:ascii="Arial Narrow" w:hAnsi="Arial Narrow"/>
          <w:u w:val="single"/>
          <w:lang w:val="en-US"/>
        </w:rPr>
        <w:t xml:space="preserve"> </w:t>
      </w:r>
      <w:r w:rsidRPr="00980398">
        <w:rPr>
          <w:rFonts w:ascii="Arial Narrow" w:hAnsi="Arial Narrow"/>
          <w:u w:val="single"/>
        </w:rPr>
        <w:t>ουγγρικής</w:t>
      </w:r>
      <w:r w:rsidRPr="00DE4DA9">
        <w:rPr>
          <w:rFonts w:ascii="Arial Narrow" w:hAnsi="Arial Narrow"/>
          <w:u w:val="single"/>
          <w:lang w:val="en-US"/>
        </w:rPr>
        <w:t xml:space="preserve"> </w:t>
      </w:r>
      <w:r w:rsidRPr="00980398">
        <w:rPr>
          <w:rFonts w:ascii="Arial Narrow" w:hAnsi="Arial Narrow"/>
          <w:u w:val="single"/>
        </w:rPr>
        <w:t>οικονομίας</w:t>
      </w:r>
      <w:r w:rsidRPr="00DE4DA9">
        <w:rPr>
          <w:rFonts w:ascii="Arial Narrow" w:hAnsi="Arial Narrow"/>
          <w:u w:val="single"/>
          <w:lang w:val="en-US"/>
        </w:rPr>
        <w:t xml:space="preserve"> </w:t>
      </w:r>
      <w:r w:rsidRPr="00980398">
        <w:rPr>
          <w:rFonts w:ascii="Arial Narrow" w:hAnsi="Arial Narrow"/>
          <w:u w:val="single"/>
        </w:rPr>
        <w:t>από</w:t>
      </w:r>
      <w:r w:rsidRPr="00DE4DA9">
        <w:rPr>
          <w:rFonts w:ascii="Arial Narrow" w:hAnsi="Arial Narrow"/>
          <w:u w:val="single"/>
          <w:lang w:val="en-US"/>
        </w:rPr>
        <w:t xml:space="preserve"> «Fitch Ratings»</w:t>
      </w:r>
      <w:r w:rsidR="00DE4DA9" w:rsidRPr="00DE4DA9">
        <w:rPr>
          <w:rFonts w:ascii="Arial Narrow" w:hAnsi="Arial Narrow"/>
          <w:u w:val="single"/>
          <w:lang w:val="en-US"/>
        </w:rPr>
        <w:t>,</w:t>
      </w:r>
      <w:r w:rsidRPr="00DE4DA9">
        <w:rPr>
          <w:rFonts w:ascii="Arial Narrow" w:hAnsi="Arial Narrow"/>
          <w:u w:val="single"/>
          <w:lang w:val="en-US"/>
        </w:rPr>
        <w:t xml:space="preserve"> «Standard &amp; Poor's»</w:t>
      </w:r>
      <w:r w:rsidR="00DE4DA9" w:rsidRPr="00DE4DA9">
        <w:rPr>
          <w:rFonts w:ascii="Arial Narrow" w:hAnsi="Arial Narrow"/>
          <w:u w:val="single"/>
          <w:lang w:val="en-US"/>
        </w:rPr>
        <w:t xml:space="preserve"> </w:t>
      </w:r>
      <w:r w:rsidR="00DE4DA9" w:rsidRPr="00DE4DA9">
        <w:rPr>
          <w:rFonts w:ascii="Arial Narrow" w:hAnsi="Arial Narrow"/>
          <w:u w:val="single"/>
        </w:rPr>
        <w:t>και</w:t>
      </w:r>
      <w:r w:rsidR="00DE4DA9" w:rsidRPr="00DE4DA9">
        <w:rPr>
          <w:rFonts w:ascii="Arial Narrow" w:hAnsi="Arial Narrow"/>
          <w:u w:val="single"/>
          <w:lang w:val="en-US"/>
        </w:rPr>
        <w:t xml:space="preserve"> </w:t>
      </w:r>
      <w:r w:rsidR="00DE4DA9" w:rsidRPr="00DE4DA9">
        <w:rPr>
          <w:rFonts w:ascii="Arial Narrow" w:hAnsi="Arial Narrow" w:cs="Calibri"/>
          <w:u w:val="single"/>
          <w:lang w:val="en-US"/>
        </w:rPr>
        <w:t>«Moody’s»</w:t>
      </w:r>
    </w:p>
    <w:p w:rsidR="00980398" w:rsidRDefault="00980398" w:rsidP="00980398">
      <w:pPr>
        <w:jc w:val="both"/>
        <w:rPr>
          <w:rFonts w:ascii="Arial Narrow" w:hAnsi="Arial Narrow" w:cs="Calibri"/>
          <w:lang w:val="en-US"/>
        </w:rPr>
      </w:pPr>
      <w:r w:rsidRPr="00980398">
        <w:rPr>
          <w:rFonts w:ascii="Arial Narrow" w:hAnsi="Arial Narrow" w:cs="Calibri"/>
        </w:rPr>
        <w:t xml:space="preserve">Οι διεθνείς οίκοι αξιολόγησης πιστοληπτικής ικανότητας «Fitch Ratings» και «Standard &amp; Poor's», διατήρησαν στα ίδια επίπεδα την αξιολόγησή τους για το αξιόχρεο της ουγγρικής οικονομίας. Οι δύο οίκοι, αξιολόγησαν με «BBB» το μακροπρόθεσμο χρέος της Ουγγαρίας σε φιορίνια (εθνικό νόμισμα), αλλά και σε ξένο συνάλλαγμα. </w:t>
      </w:r>
    </w:p>
    <w:p w:rsidR="00980398" w:rsidRPr="00980398" w:rsidRDefault="00980398" w:rsidP="00980398">
      <w:pPr>
        <w:jc w:val="both"/>
        <w:rPr>
          <w:rFonts w:ascii="Arial Narrow" w:hAnsi="Arial Narrow" w:cs="Calibri"/>
        </w:rPr>
      </w:pPr>
      <w:r>
        <w:rPr>
          <w:rFonts w:ascii="Arial Narrow" w:hAnsi="Arial Narrow" w:cs="Calibri"/>
          <w:lang w:val="en-US"/>
        </w:rPr>
        <w:t>O</w:t>
      </w:r>
      <w:r w:rsidRPr="00980398">
        <w:rPr>
          <w:rFonts w:ascii="Arial Narrow" w:hAnsi="Arial Narrow" w:cs="Calibri"/>
        </w:rPr>
        <w:t xml:space="preserve"> οίκος </w:t>
      </w:r>
      <w:r w:rsidRPr="00DE4DA9">
        <w:rPr>
          <w:rFonts w:ascii="Arial Narrow" w:hAnsi="Arial Narrow" w:cs="Calibri"/>
          <w:b/>
        </w:rPr>
        <w:t>«Standard &amp; Poor's»</w:t>
      </w:r>
      <w:r w:rsidRPr="00980398">
        <w:rPr>
          <w:rFonts w:ascii="Arial Narrow" w:hAnsi="Arial Narrow" w:cs="Calibri"/>
        </w:rPr>
        <w:t xml:space="preserve"> (S&amp;P) αξιολογεί με «A-2» το βραχυπρόθεσμο χρέος της Ουγγαρίας, Σύμφωνα με σχετική έκθεσή του, η οικονομική ανάκαμψη της χώρας θα αποκτήσει μεγαλύτερη δυναμική περί τα μέσα του 2021 με ρυθμό οικονομικής ανάπτυξης στο 4,6%. Ο οίκος εκτιμά, ότι αμέσως μετά τη χαλάρωση των περιοριστικών μέτρων κατά της πανδημίας, η ιδιωτική κατανάλωση θα αυξηθεί, δεδομένης και της υψηλής αποταμίευσης των νοικοκυριών. Η οικονομική ανάπτυξη θα ενισχυθεί περαιτέρω, τόσο με τα χρηματοδοτικά προγράμματα της κυβέρνησης για την αναθέρμανση της οικονομίας, όσο και από την εισροή κεφαλαίων της ΕΕ, αλλά και εξαιτίας της οικονομικής ανάκαμψης χωρών-εμπορικών εταίρων της Ουγγαρίας. Ενδεχομένως, η κυβέρνηση να επιδιώξει σύντομα την επιστροφή στη δημοσιονομική πειθαρχία, ώστε το χρέος ως ποσοστό του ΑΕΠ να μην ξεπεράσει το 80% (μεταξύ των υψηλοτέρων στην ευρύτερη περιοχή της Κεντρικής και Ανατολικής Ευρώπης). Τέλος, ο οίκος «S&amp;P» προειδοποίησε για το ενδεχόμενο υποβάθμισης της ουγγρικής οικονομίας στην περίπτωση που: α) δημιουργηθεί δημοσιονομική ασάφεια, β) υπάρξουν καθυστερήσεις στην απορρόφηση των ευρωπαϊκών κονδυλίων και γ) η Κεντρική Τράπεζα Ουγγαρίας αποφασίσει να απομακρυνθεί από την πολιτική των ελεύθερα κυμαινόμενων συναλλαγματικών ισοτιμιών. Εάν τίποτα από τα παραπάνω δεν συμβούν, τότε ο οίκος θα προχωρήσει σε αναβάθμιση της πιστοληπτικής ικανότητας της Ουγγαρίας.  </w:t>
      </w:r>
    </w:p>
    <w:p w:rsidR="00980398" w:rsidRDefault="00980398" w:rsidP="00980398">
      <w:pPr>
        <w:jc w:val="both"/>
        <w:rPr>
          <w:rFonts w:ascii="Arial Narrow" w:hAnsi="Arial Narrow" w:cs="Calibri"/>
          <w:lang w:val="en-US"/>
        </w:rPr>
      </w:pPr>
      <w:r>
        <w:rPr>
          <w:rFonts w:ascii="Arial Narrow" w:hAnsi="Arial Narrow" w:cs="Calibri"/>
          <w:lang w:val="en-US"/>
        </w:rPr>
        <w:t>O</w:t>
      </w:r>
      <w:r w:rsidRPr="00980398">
        <w:rPr>
          <w:rFonts w:ascii="Arial Narrow" w:hAnsi="Arial Narrow" w:cs="Calibri"/>
        </w:rPr>
        <w:t xml:space="preserve"> οίκος </w:t>
      </w:r>
      <w:r w:rsidRPr="00DE4DA9">
        <w:rPr>
          <w:rFonts w:ascii="Arial Narrow" w:hAnsi="Arial Narrow" w:cs="Calibri"/>
          <w:b/>
        </w:rPr>
        <w:t>«Fitch Ratings»</w:t>
      </w:r>
      <w:r w:rsidRPr="00980398">
        <w:rPr>
          <w:rFonts w:ascii="Arial Narrow" w:hAnsi="Arial Narrow" w:cs="Calibri"/>
        </w:rPr>
        <w:t xml:space="preserve"> επεσήμανε ότι η αξιολόγηση «BBB» βασίζεται στην ισχυρή δομή της ουγγρικής οικονομίας και στους υψηλούς ρυθμούς οικονομικής ανάπτυξης των τελευταίων ετών, χωρίς όμως να παραβλέπεται η ανορθόδοξη οικονομική πολιτική και το κάπως υψηλό κρατικό χρέος. Σύμφωνα με της εκτιμήσεις του οίκου, η οικονομική ανάπτυξη της χώρας θα διαμορφωθεί στο 4,9% το 2021, ενισχυμένη από τα κονδύλια του μηχανισμού Ανθεκτικότητας και Ανάκαμψης της ΕΕ. Ο οίκος εκτιμά, επίσης, ότι η Ουγγαρία θα μπορούσε να καταστεί βιομηχανικό προπύργιο της ΕΕ για την κατασκευή ηλεκτρικών οχημάτων. Τέλος, αναμένει μείωση του ελλείμματος στο 6,4% του ΑΕΠ για το 2021 (8,9% το 2020) και σε 6,1% το 2022 και προειδοποιεί με τη σειρά του, ότι επιβράδυνση της δημοσιονομικής εξυγίανσης θα οδηγήσει σε πιθανή υποβάθμιση της πιστοληπτικής ικανότητας της Ουγγαρίας.</w:t>
      </w:r>
    </w:p>
    <w:p w:rsidR="00DE4DA9" w:rsidRPr="00DE4DA9" w:rsidRDefault="00DE4DA9" w:rsidP="00DE4DA9">
      <w:pPr>
        <w:jc w:val="both"/>
        <w:rPr>
          <w:rFonts w:ascii="Arial Narrow" w:hAnsi="Arial Narrow" w:cs="Calibri"/>
        </w:rPr>
      </w:pPr>
      <w:r w:rsidRPr="00DE4DA9">
        <w:rPr>
          <w:rFonts w:ascii="Arial Narrow" w:hAnsi="Arial Narrow" w:cs="Calibri"/>
        </w:rPr>
        <w:t xml:space="preserve">Ο οίκος </w:t>
      </w:r>
      <w:r w:rsidRPr="00DE4DA9">
        <w:rPr>
          <w:rFonts w:ascii="Arial Narrow" w:hAnsi="Arial Narrow" w:cs="Calibri"/>
          <w:b/>
        </w:rPr>
        <w:t>«Moody’s»</w:t>
      </w:r>
      <w:r w:rsidRPr="00DE4DA9">
        <w:rPr>
          <w:rFonts w:ascii="Arial Narrow" w:hAnsi="Arial Narrow" w:cs="Calibri"/>
        </w:rPr>
        <w:t xml:space="preserve"> εκτιμά ότι η ουγγρική οικονομία θα επιστρέψει σε προ κρίσης ρυθμούς ανάπτυξης το 2022, αφού προηγουμένως μειωθούν το δημοσιονομικό έλλειμμα και το κρατικό χρέος. Ο οίκος, προβλέπει, επίσης, ότι το ΑΕΠ της χώρας θα διαμορφωθεί στο 3% το 2021 και σε 4,5% το 2022. </w:t>
      </w:r>
      <w:r>
        <w:rPr>
          <w:rFonts w:ascii="Arial Narrow" w:hAnsi="Arial Narrow" w:cs="Calibri"/>
        </w:rPr>
        <w:t>Σ</w:t>
      </w:r>
      <w:r w:rsidRPr="00DE4DA9">
        <w:rPr>
          <w:rFonts w:ascii="Arial Narrow" w:hAnsi="Arial Narrow" w:cs="Calibri"/>
        </w:rPr>
        <w:t xml:space="preserve">ύμφωνα με στοιχεία του οίκου «Moody’s», την περίοδο 2014-2019, το ΑΕΠ της Ουγγαρίας σημείωσε μέση ετήσια αύξηση 4,1%. Η θετική, σε γενικές γραμμές, εικόνα της οικονομίας της χώρας, αξιολογείται από τον οίκο με "Baa3". Ο οίκος, προβλέπει επίσης ότι, το κρατικό χρέος της Ουγγαρίας εκφρασμένο ως ποσοστό του ΑΕΠ, θα αρχίσει σταδιακά να μειώνεται από το 2022, ως αποτέλεσμα της οικονομικής ανάκαμψης και της μείωσης του ελλείμματος. Εντούτοις, η δημοσιονομική πολιτική αναμένεται να παραμείνει επεκτατική και το 2022 εξαιτίας των επικείμενων εθνικών εκλογών. Τέλος, ο οίκος «Moody’s», εκτιμά ότι το χρέος θα μειωθεί σε κάτω του 72% του ΑΕΠ μέχρι το 2024. </w:t>
      </w:r>
    </w:p>
    <w:p w:rsidR="00DE4DA9" w:rsidRPr="00DE4DA9" w:rsidRDefault="00DE4DA9" w:rsidP="00980398">
      <w:pPr>
        <w:jc w:val="both"/>
        <w:rPr>
          <w:rFonts w:ascii="Arial Narrow" w:hAnsi="Arial Narrow" w:cs="Calibri"/>
        </w:rPr>
      </w:pPr>
    </w:p>
    <w:p w:rsidR="00980398" w:rsidRPr="006A68C1" w:rsidRDefault="006A68C1" w:rsidP="006A68C1">
      <w:pPr>
        <w:numPr>
          <w:ilvl w:val="0"/>
          <w:numId w:val="3"/>
        </w:numPr>
        <w:tabs>
          <w:tab w:val="num" w:pos="180"/>
        </w:tabs>
        <w:ind w:left="0" w:firstLine="0"/>
        <w:jc w:val="both"/>
        <w:rPr>
          <w:rFonts w:ascii="Arial Narrow" w:hAnsi="Arial Narrow"/>
          <w:u w:val="single"/>
        </w:rPr>
      </w:pPr>
      <w:r w:rsidRPr="006A68C1">
        <w:rPr>
          <w:rFonts w:ascii="Arial Narrow" w:hAnsi="Arial Narrow"/>
          <w:u w:val="single"/>
        </w:rPr>
        <w:t>Η Κεντρική Τράπεζα διατηρεί σταθερό το βασικό επιτόκιο</w:t>
      </w:r>
    </w:p>
    <w:p w:rsidR="006A68C1" w:rsidRPr="006A68C1" w:rsidRDefault="006A68C1" w:rsidP="006A68C1">
      <w:pPr>
        <w:jc w:val="both"/>
        <w:rPr>
          <w:rFonts w:ascii="Arial Narrow" w:hAnsi="Arial Narrow" w:cs="Calibri"/>
        </w:rPr>
      </w:pPr>
      <w:r w:rsidRPr="006A68C1">
        <w:rPr>
          <w:rFonts w:ascii="Arial Narrow" w:hAnsi="Arial Narrow" w:cs="Calibri"/>
        </w:rPr>
        <w:t>Σύμφωνα με πρόσφατη απόφαση του Νομισματικού Συμβουλίου της Κεντρικής Τράπεζας Ουγγαρίας (ΜΝΒ), το βασικό επιτόκιο παραμένει σταθερό στο 0,6%. Η ΜΝΒ διατηρεί, επίσης, σταθερά % τα επιτόκια καταθέσεων και δανεισμού διάρκειας μιας ημέρας, στο -0,05 και 1,85% αντίστοιχα. Οικονομικοί αναλυτές εκτιμούν, ότι στα ίδια επίπεδα (0,75%) θα διατηρηθούν και τα επιτόκια καταθέσεων διάρκειας μιας εβδομάδας. Στη σχετική ανακοίνωση της ΜΝΒ, μετά την ανωτέρω απόφαση του Νομισματικού Συμβουλίου, αναφέρεται ότι «εξαιτίας της αβεβαιότητας, η ΜΝΒ παρακολουθεί στενά τη διακύμανση του πληθωρισμού και είναι έτοιμη να επέμβει εφόσον αυτό κριθεί αναγκαίο», δήλωση που η ΜΝΒ έχει χρησιμοποιήσει πολλάκις στο παρελθόν. Τέλος, η Τράπεζα, αναφερόμενη στα στοιχεία του δ΄ τριμήνου 2020 για το ΑΕΠ, επεσήμανε ότι αυτά ήταν καλύτερα από τις προβλέψεις της, ενδεικτικό του ότι η ουγγρική οικονομία έχει αντοχές και δυνατότητες ταχείας ανάκαμψης.</w:t>
      </w:r>
    </w:p>
    <w:p w:rsidR="006A68C1" w:rsidRPr="006A68C1" w:rsidRDefault="006A68C1" w:rsidP="00980398">
      <w:pPr>
        <w:pStyle w:val="Web"/>
        <w:shd w:val="clear" w:color="auto" w:fill="FFFFFF"/>
        <w:spacing w:before="0" w:beforeAutospacing="0" w:after="0" w:afterAutospacing="0"/>
        <w:ind w:firstLine="567"/>
        <w:jc w:val="both"/>
        <w:rPr>
          <w:rFonts w:ascii="Arial Narrow" w:hAnsi="Arial Narrow"/>
          <w:lang w:val="el-GR"/>
        </w:rPr>
      </w:pPr>
    </w:p>
    <w:p w:rsidR="00980398" w:rsidRPr="00980398" w:rsidRDefault="00980398" w:rsidP="00794A2E">
      <w:pPr>
        <w:jc w:val="both"/>
        <w:rPr>
          <w:rFonts w:ascii="Arial Narrow" w:hAnsi="Arial Narrow" w:cs="Calibri"/>
        </w:rPr>
      </w:pPr>
    </w:p>
    <w:p w:rsidR="00CC44F6" w:rsidRDefault="00CC44F6" w:rsidP="008B01AD">
      <w:pPr>
        <w:pStyle w:val="a3"/>
        <w:tabs>
          <w:tab w:val="clear" w:pos="4320"/>
          <w:tab w:val="clear" w:pos="8640"/>
        </w:tabs>
        <w:jc w:val="center"/>
        <w:rPr>
          <w:rFonts w:ascii="Arial Narrow" w:eastAsia="MS Mincho" w:hAnsi="Arial Narrow"/>
          <w:b/>
          <w:bCs/>
          <w:color w:val="548DD4"/>
          <w:szCs w:val="20"/>
        </w:rPr>
      </w:pP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IΙ</w:t>
      </w: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Επιχειρηματικές – Εμπορικές Ειδήσεις</w:t>
      </w:r>
    </w:p>
    <w:p w:rsidR="008B01AD" w:rsidRPr="0061655F" w:rsidRDefault="008B01AD" w:rsidP="008B01AD">
      <w:pPr>
        <w:pStyle w:val="a3"/>
        <w:tabs>
          <w:tab w:val="clear" w:pos="4320"/>
          <w:tab w:val="clear" w:pos="8640"/>
        </w:tabs>
        <w:jc w:val="center"/>
        <w:rPr>
          <w:rFonts w:ascii="Arial Narrow" w:eastAsia="MS Mincho" w:hAnsi="Arial Narrow"/>
          <w:b/>
          <w:bCs/>
          <w:color w:val="943634"/>
          <w:szCs w:val="20"/>
        </w:rPr>
      </w:pPr>
    </w:p>
    <w:p w:rsidR="008B01AD" w:rsidRPr="0061655F" w:rsidRDefault="008B01AD" w:rsidP="008B01AD">
      <w:pPr>
        <w:pStyle w:val="aa"/>
        <w:ind w:left="0"/>
        <w:rPr>
          <w:rFonts w:ascii="Arial Narrow" w:hAnsi="Arial Narrow"/>
          <w:b/>
          <w:color w:val="3366FF"/>
        </w:rPr>
      </w:pPr>
      <w:r w:rsidRPr="0061655F">
        <w:rPr>
          <w:rFonts w:ascii="Arial Narrow" w:hAnsi="Arial Narrow"/>
          <w:b/>
          <w:color w:val="3366FF"/>
        </w:rPr>
        <w:t>Α. Γενικές Ειδήσεις</w:t>
      </w:r>
    </w:p>
    <w:p w:rsidR="008B01AD" w:rsidRPr="0061655F" w:rsidRDefault="008B01AD" w:rsidP="008B01AD">
      <w:pPr>
        <w:jc w:val="both"/>
        <w:rPr>
          <w:rFonts w:ascii="Arial Narrow" w:hAnsi="Arial Narrow"/>
        </w:rPr>
      </w:pPr>
    </w:p>
    <w:p w:rsidR="00DF5A3A" w:rsidRPr="00DF5A3A" w:rsidRDefault="00DF5A3A" w:rsidP="00DF5A3A">
      <w:pPr>
        <w:numPr>
          <w:ilvl w:val="0"/>
          <w:numId w:val="2"/>
        </w:numPr>
        <w:jc w:val="both"/>
        <w:rPr>
          <w:rFonts w:ascii="Arial Narrow" w:hAnsi="Arial Narrow"/>
          <w:u w:val="single"/>
        </w:rPr>
      </w:pPr>
      <w:r w:rsidRPr="00DF5A3A">
        <w:rPr>
          <w:rFonts w:ascii="Arial Narrow" w:hAnsi="Arial Narrow"/>
          <w:u w:val="single"/>
        </w:rPr>
        <w:t>Στήριξη του τουριστικού τομέα</w:t>
      </w:r>
    </w:p>
    <w:p w:rsidR="00DF5A3A" w:rsidRPr="00DF5A3A" w:rsidRDefault="00DF5A3A" w:rsidP="00DF5A3A">
      <w:pPr>
        <w:jc w:val="both"/>
        <w:rPr>
          <w:rFonts w:ascii="Arial Narrow" w:hAnsi="Arial Narrow" w:cs="Calibri"/>
        </w:rPr>
      </w:pPr>
      <w:r w:rsidRPr="00DF5A3A">
        <w:rPr>
          <w:rFonts w:ascii="Arial Narrow" w:hAnsi="Arial Narrow" w:cs="Calibri"/>
        </w:rPr>
        <w:t xml:space="preserve">Σύμφωνα με ανακοίνωση του Εθνικού Οργανισμού Τουρισμού της Ουγγαρίας (MTÜ),  η κρατική ενίσχυση του τουριστικού τομέα το 2020, ξεπέρασε σε αξία τα 800 δισεκ. HUF (€2,22 δισεκ.), ποσό εξαιρετικά υψηλό σε σχέση με τα ευρωπαϊκά δεδομένα. Στο ποσό αυτό συμπεριλαμβάνονται τα μέτρα ενίσχυσης προς επιχειρήσεις του κλάδου που επλήγησαν εξαιτίας της πανδημίας του COVID-19, όπως για παράδειγμα η αναστολή καταβολής φόρων και μισθών. Σημειώνεται ότι ο τουριστικός κλάδος της Ουγγαρίας, στηρίζει οικονομικά περισσότερα από 400 χιλ. άτομα και συμμετέχει με 13,5% στο ΑΕΠ της ουγγρικής οικονομίας. Τέλος, σύμφωνα πάντα με την ανακοίνωση του MTÜ, ο τουριστικός κλάδος αναμένεται να πρωταγωνιστήσει στην ανάκαμψη της οικονομίας το 2021. </w:t>
      </w:r>
      <w:r>
        <w:rPr>
          <w:rFonts w:ascii="Arial Narrow" w:hAnsi="Arial Narrow" w:cs="Calibri"/>
          <w:lang w:val="en-US"/>
        </w:rPr>
        <w:t>H</w:t>
      </w:r>
      <w:r w:rsidRPr="00DF5A3A">
        <w:rPr>
          <w:rFonts w:ascii="Arial Narrow" w:hAnsi="Arial Narrow" w:cs="Calibri"/>
        </w:rPr>
        <w:t xml:space="preserve"> Ελλάδα είναι ισχυρός πόλος έλξης για τους Ούγγρους παραθεριστές, αφού περισσότεροι από 200 χιλ. Ούγγροι επισκέπτονται την Ελλάδα ετησίως (η χώρα μας, το 2017, κατέστη για πρώτη φορά ο μεγαλύτερος -μετά την Κροατία- τουριστικός προορισμός για την Ουγγαρία). Τα τελευταία χρόνια υπάρχει αυξητική τουριστική κίνηση Ούγγρων προς Ελλάδα. Από 110.000 άτομα το 2014, ο αριθμός των Ούγγρων επισκεπτών στην Ελλάδα ξεπέρασε τις 250.000 το 2019. Οι περισσότεροι Ούγγροι επισκέπτες προτιμούν να διαμένουν στη χώρα μας περισσότερες από 5 ημέρες.</w:t>
      </w:r>
    </w:p>
    <w:p w:rsidR="003C5A3E" w:rsidRPr="003C5A3E" w:rsidRDefault="003C5A3E" w:rsidP="00825ED7">
      <w:pPr>
        <w:jc w:val="both"/>
        <w:rPr>
          <w:rFonts w:ascii="Arial Narrow" w:hAnsi="Arial Narrow" w:cs="Arial"/>
          <w:sz w:val="23"/>
          <w:szCs w:val="23"/>
        </w:rPr>
      </w:pPr>
    </w:p>
    <w:p w:rsidR="003C5A3E" w:rsidRPr="009E3B95" w:rsidRDefault="009E3B95" w:rsidP="009E3B95">
      <w:pPr>
        <w:numPr>
          <w:ilvl w:val="0"/>
          <w:numId w:val="2"/>
        </w:numPr>
        <w:jc w:val="both"/>
        <w:rPr>
          <w:rFonts w:ascii="Arial Narrow" w:hAnsi="Arial Narrow"/>
          <w:u w:val="single"/>
        </w:rPr>
      </w:pPr>
      <w:r w:rsidRPr="009E3B95">
        <w:rPr>
          <w:rFonts w:ascii="Arial Narrow" w:hAnsi="Arial Narrow"/>
          <w:u w:val="single"/>
        </w:rPr>
        <w:t>Ενίσχυση επενδύσεων</w:t>
      </w:r>
    </w:p>
    <w:p w:rsidR="009E3B95" w:rsidRPr="009E3B95" w:rsidRDefault="009E3B95" w:rsidP="009E3B95">
      <w:pPr>
        <w:jc w:val="both"/>
        <w:rPr>
          <w:rFonts w:ascii="Arial Narrow" w:hAnsi="Arial Narrow" w:cs="Calibri"/>
        </w:rPr>
      </w:pPr>
      <w:r w:rsidRPr="009E3B95">
        <w:rPr>
          <w:rFonts w:ascii="Arial Narrow" w:hAnsi="Arial Narrow" w:cs="Calibri"/>
        </w:rPr>
        <w:t>Σύμφωνα με πρόσφατη ανάρτηση του Υπουργού Εξωτερικών και Εμπορίου, κ. Péter Szijjártó, στα μέσα κοινωνικής δικτύωσης, το 2020 χαρακτηρίζεται «εξαιρετικό», ως προς την προσέλκυση επενδύσεων στη χώρα. Με την κρατική υποστήριξη, μέσω διαφόρων οικονομικών προγραμμάτων, υλοποιήθηκαν 1.433 επενδύσεις συνολικής αξίας 1.676  δισεκ. HUF (€4,65 δισεκ.), εκ των οποίων, ποσό 472 δισεκ. HUF (€1,31 δισεκ.) αποτελεί κρατική χρηματοδότηση. Επιπλέον, τα χρηματοδοτούμενα από το κράτος επενδυτικά έργα, δημιούργησαν 12.603 νέες θέσεις εργασίας και βοήθησαν να διατηρηθούν άλλες 264.595. Τέλος, ο κ. Szijjártó, επεσήμανε ότι 80% των μικρο-μεσαίων επιχειρήσεων που ενεπλάκησαν σε επενδυτικά έργα, ήταν ουγγρικών συμφερόντων και διαβεβαίωσε ότι η ίδια πολιτική ενίσχυσης των επενδύσεων θα συνεχιστεί.</w:t>
      </w:r>
    </w:p>
    <w:p w:rsidR="009E3B95" w:rsidRDefault="009E3B95" w:rsidP="009E3B95">
      <w:pPr>
        <w:jc w:val="both"/>
        <w:rPr>
          <w:rFonts w:ascii="Arial Narrow" w:hAnsi="Arial Narrow" w:cs="Calibri"/>
        </w:rPr>
      </w:pPr>
      <w:r w:rsidRPr="009E3B95">
        <w:rPr>
          <w:rFonts w:ascii="Arial Narrow" w:hAnsi="Arial Narrow" w:cs="Calibri"/>
        </w:rPr>
        <w:t>Στο ίδιο πνεύμα κινήθηκε και ο Διοικητής της Κεντρικής Τράπεζας Ουγγαρίας, κ. György Matolcsy, ο οποίος σε συνέντευξή του, τόνισε ότι η ανάπτυξη των επενδύσεων, η δημιουργία νέων θέσεων εργασίας και η χαμηλού κόστους δανειοδότηση (φθηνό χρήμα), θα αποτελέσουν τους μοχλούς ανάπτυξης της εθνικής οικονομίας και της ανάκαμψής της στην μετά-Covid εποχή. Επεσήμανε ότι ο ρυθμός επενδύσεων πρέπει να παραμείνει άνω του 25% κατά το 2021 και να αυξηθεί σε πάνω από 27% το 2022. Κατά συνέπεια, κατέληξε, απαιτείται αύξηση των κρατικών επενδύσεων και περαιτέρω ενίσχυση των ιδιωτικών.</w:t>
      </w:r>
    </w:p>
    <w:p w:rsidR="00A01C65" w:rsidRDefault="00A01C65" w:rsidP="009E3B95">
      <w:pPr>
        <w:jc w:val="both"/>
        <w:rPr>
          <w:rFonts w:ascii="Arial Narrow" w:hAnsi="Arial Narrow"/>
          <w:sz w:val="23"/>
          <w:szCs w:val="23"/>
        </w:rPr>
      </w:pPr>
    </w:p>
    <w:p w:rsidR="0099736B" w:rsidRPr="00A01C65" w:rsidRDefault="00A01C65" w:rsidP="00A01C65">
      <w:pPr>
        <w:numPr>
          <w:ilvl w:val="0"/>
          <w:numId w:val="2"/>
        </w:numPr>
        <w:jc w:val="both"/>
        <w:rPr>
          <w:rFonts w:ascii="Arial Narrow" w:hAnsi="Arial Narrow"/>
          <w:u w:val="single"/>
        </w:rPr>
      </w:pPr>
      <w:r w:rsidRPr="00A01C65">
        <w:rPr>
          <w:rFonts w:ascii="Arial Narrow" w:hAnsi="Arial Narrow"/>
          <w:u w:val="single"/>
        </w:rPr>
        <w:t>Επανεμφάνιση της γρίπης των πτηνών στην Ουγγαρία</w:t>
      </w:r>
    </w:p>
    <w:p w:rsidR="00A01C65" w:rsidRDefault="00A01C65" w:rsidP="00A01C65">
      <w:pPr>
        <w:jc w:val="both"/>
        <w:rPr>
          <w:rFonts w:ascii="Arial Narrow" w:hAnsi="Arial Narrow" w:cs="Calibri"/>
        </w:rPr>
      </w:pPr>
      <w:r w:rsidRPr="00A01C65">
        <w:rPr>
          <w:rFonts w:ascii="Arial Narrow" w:hAnsi="Arial Narrow" w:cs="Calibri"/>
        </w:rPr>
        <w:t xml:space="preserve">Σύμφωνα με ανακοίνωση της Υπηρεσίας Ασφάλειας Τροφίμων (Nébih), κρούσματα της γρίπης των πτηνών εντοπίστηκαν σε πτηνοτροφική μονάδα της επαρχίας Komárom-Esztergom. Άμεσα διετάχθη, προληπτικά, η θανάτωση περίπου 90.000 πτηνών, για αποτροπή πιθανής εξάπλωσης της νόσου. Επί του παρόντος, δεν λαμβάνονται άλλα μέτρα, όμως, η  Nébih και οι συναρμόδιες υπηρεσίες συλλέγουν και εξετάζουν δείγματα από όλες τις πτηνοτροφικές μονάδες σε ακτίνα 10 χλμ. Για την επανεμφάνιση της γρίπης των πτηνών στην Ουγγαρία, σύμφωνα με τους ειδικούς, ευθύνονται τα μεταναστευτικά πτηνά. Η θεωρία αυτή ενισχύεται από το γεγονός ότι στις αρχές του έτους, ο ιός της γρίπης των πτηνών, είχε εντοπιστεί σε νεκρό ερωδιό στην λίμνη Tata (την πρώτη τεχνητή λίμνη της Ουγγαρίας και σημαντικό υγροβιότοπο). </w:t>
      </w:r>
    </w:p>
    <w:p w:rsidR="009B03DC" w:rsidRDefault="009B03DC" w:rsidP="00A01C65">
      <w:pPr>
        <w:jc w:val="both"/>
        <w:rPr>
          <w:rFonts w:ascii="Arial Narrow" w:hAnsi="Arial Narrow" w:cs="Calibri"/>
        </w:rPr>
      </w:pPr>
    </w:p>
    <w:p w:rsidR="009B03DC" w:rsidRPr="009B03DC" w:rsidRDefault="009B03DC" w:rsidP="009B03DC">
      <w:pPr>
        <w:numPr>
          <w:ilvl w:val="0"/>
          <w:numId w:val="2"/>
        </w:numPr>
        <w:jc w:val="both"/>
        <w:rPr>
          <w:rFonts w:ascii="Arial Narrow" w:hAnsi="Arial Narrow"/>
          <w:u w:val="single"/>
        </w:rPr>
      </w:pPr>
      <w:r w:rsidRPr="009B03DC">
        <w:rPr>
          <w:rFonts w:ascii="Arial Narrow" w:hAnsi="Arial Narrow"/>
          <w:u w:val="single"/>
        </w:rPr>
        <w:t>Ενίσχυση προγράμματος αγροτικής ανάπτυξης</w:t>
      </w:r>
    </w:p>
    <w:p w:rsidR="009B03DC" w:rsidRDefault="009B03DC" w:rsidP="009B03DC">
      <w:pPr>
        <w:pStyle w:val="Web"/>
        <w:shd w:val="clear" w:color="auto" w:fill="FFFFFF"/>
        <w:spacing w:before="0" w:beforeAutospacing="0" w:after="0" w:afterAutospacing="0"/>
        <w:jc w:val="both"/>
        <w:rPr>
          <w:rFonts w:ascii="Arial Narrow" w:hAnsi="Arial Narrow"/>
          <w:lang w:val="el-GR"/>
        </w:rPr>
      </w:pPr>
      <w:r w:rsidRPr="00EB340E">
        <w:rPr>
          <w:rFonts w:ascii="Arial Narrow" w:hAnsi="Arial Narrow"/>
          <w:lang w:val="el-GR"/>
        </w:rPr>
        <w:t xml:space="preserve">Σύμφωνα με </w:t>
      </w:r>
      <w:r>
        <w:rPr>
          <w:rFonts w:ascii="Arial Narrow" w:hAnsi="Arial Narrow"/>
          <w:lang w:val="el-GR"/>
        </w:rPr>
        <w:t xml:space="preserve">κυβερνητική απόφαση που δημοσιεύθηκε στην Εφημερίδα Κυβερνήσεως, τα κονδύλια που θα δεσμευθούν από τον κρατικό προϋπολογισμό, για την αγροτική ανάπτυξη περιόδου 2021-2027, τετραπλασιάζονται. Αξιοποιώντας τα ευρωπαϊκά κονδύλια της Κοινής Αγροτικής Πολιτικής (ΚΑΠ), η κυβέρνηση θα δαπανήσει συνολικά 4,3 τρισεκ </w:t>
      </w:r>
      <w:r>
        <w:rPr>
          <w:rFonts w:ascii="Arial Narrow" w:hAnsi="Arial Narrow"/>
        </w:rPr>
        <w:t>HUF</w:t>
      </w:r>
      <w:r w:rsidRPr="00DB5EEE">
        <w:rPr>
          <w:rFonts w:ascii="Arial Narrow" w:hAnsi="Arial Narrow"/>
          <w:lang w:val="el-GR"/>
        </w:rPr>
        <w:t xml:space="preserve"> </w:t>
      </w:r>
      <w:r w:rsidRPr="00DA6738">
        <w:rPr>
          <w:rFonts w:ascii="Arial Narrow" w:hAnsi="Arial Narrow"/>
        </w:rPr>
        <w:t>(€1</w:t>
      </w:r>
      <w:r w:rsidRPr="00DB5EEE">
        <w:rPr>
          <w:rFonts w:ascii="Arial Narrow" w:hAnsi="Arial Narrow"/>
          <w:lang w:val="el-GR"/>
        </w:rPr>
        <w:t xml:space="preserve">2,2 </w:t>
      </w:r>
      <w:r>
        <w:rPr>
          <w:rFonts w:ascii="Arial Narrow" w:hAnsi="Arial Narrow"/>
          <w:lang w:val="el-GR"/>
        </w:rPr>
        <w:t xml:space="preserve">δισεκ.) για την ανάπτυξη του αγροτικού τομέα, των αγροτικών περιοχών και της βιομηχανίας τροφίμων. Αυτό θα επιτευχθεί, δήλωσε ο Υπουργός Γεωργίας, κ. </w:t>
      </w:r>
      <w:r w:rsidRPr="00DB5EEE">
        <w:rPr>
          <w:rFonts w:ascii="Arial Narrow" w:hAnsi="Arial Narrow"/>
          <w:lang w:val="el-GR"/>
        </w:rPr>
        <w:t>István Nagy</w:t>
      </w:r>
      <w:r>
        <w:rPr>
          <w:rFonts w:ascii="Arial Narrow" w:hAnsi="Arial Narrow"/>
          <w:lang w:val="el-GR"/>
        </w:rPr>
        <w:t>,</w:t>
      </w:r>
      <w:r w:rsidRPr="00DB5EEE">
        <w:rPr>
          <w:rFonts w:ascii="Arial Narrow" w:hAnsi="Arial Narrow"/>
          <w:lang w:val="el-GR"/>
        </w:rPr>
        <w:t xml:space="preserve"> </w:t>
      </w:r>
      <w:r>
        <w:rPr>
          <w:rFonts w:ascii="Arial Narrow" w:hAnsi="Arial Narrow"/>
          <w:lang w:val="el-GR"/>
        </w:rPr>
        <w:t xml:space="preserve">με την κατακόρυφη αύξηση (εις τετραπλούν) των κρατικών κονδυλίων, τα οποία θα προστεθούν στα κονδύλια που θα ληφθούν από την ΚΑΠ, για την περίοδο 2021-2027 (Πολυετές Δημοσιονομικό Πλαίσιο). Κατά συνέπεια, σύμφωνα με αναλυτές, από το 2022 κι έπειτα, ο κρατικός προϋπολογισμός θα πρέπει να δεσμεύσει σημαντικά κονδύλια, ώστε από τα 180 δισεκ. </w:t>
      </w:r>
      <w:r>
        <w:rPr>
          <w:rFonts w:ascii="Arial Narrow" w:hAnsi="Arial Narrow"/>
        </w:rPr>
        <w:t>HUF</w:t>
      </w:r>
      <w:r>
        <w:rPr>
          <w:rFonts w:ascii="Arial Narrow" w:hAnsi="Arial Narrow"/>
          <w:lang w:val="el-GR"/>
        </w:rPr>
        <w:t xml:space="preserve"> </w:t>
      </w:r>
      <w:r w:rsidRPr="00DA6738">
        <w:rPr>
          <w:rFonts w:ascii="Arial Narrow" w:hAnsi="Arial Narrow"/>
        </w:rPr>
        <w:t>(€514,2</w:t>
      </w:r>
      <w:r>
        <w:rPr>
          <w:rFonts w:ascii="Arial Narrow" w:hAnsi="Arial Narrow"/>
          <w:lang w:val="el-GR"/>
        </w:rPr>
        <w:t xml:space="preserve"> εκ.) της περιόδου 2014-2021, η ενίσχυση για τον αγροτικό τομέα να αγγίξει τα 4,3 τρισεκ. </w:t>
      </w:r>
      <w:r>
        <w:rPr>
          <w:rFonts w:ascii="Arial Narrow" w:hAnsi="Arial Narrow"/>
        </w:rPr>
        <w:t>HUF</w:t>
      </w:r>
      <w:r>
        <w:rPr>
          <w:rFonts w:ascii="Arial Narrow" w:hAnsi="Arial Narrow"/>
          <w:lang w:val="el-GR"/>
        </w:rPr>
        <w:t xml:space="preserve">. </w:t>
      </w:r>
    </w:p>
    <w:p w:rsidR="009B03DC" w:rsidRDefault="009B03DC" w:rsidP="00A01C65">
      <w:pPr>
        <w:jc w:val="both"/>
        <w:rPr>
          <w:rFonts w:ascii="Arial Narrow" w:hAnsi="Arial Narrow" w:cs="Calibri"/>
        </w:rPr>
      </w:pPr>
    </w:p>
    <w:p w:rsidR="0063758A" w:rsidRPr="0063758A" w:rsidRDefault="0063758A" w:rsidP="0063758A">
      <w:pPr>
        <w:numPr>
          <w:ilvl w:val="0"/>
          <w:numId w:val="2"/>
        </w:numPr>
        <w:jc w:val="both"/>
        <w:rPr>
          <w:rFonts w:ascii="Arial Narrow" w:hAnsi="Arial Narrow"/>
          <w:u w:val="single"/>
        </w:rPr>
      </w:pPr>
      <w:r w:rsidRPr="0063758A">
        <w:rPr>
          <w:rFonts w:ascii="Arial Narrow" w:hAnsi="Arial Narrow"/>
          <w:u w:val="single"/>
        </w:rPr>
        <w:t>Μείωση του τζίρου στο Χρηματιστήριο Βουδαπέστης</w:t>
      </w:r>
    </w:p>
    <w:p w:rsidR="0063758A" w:rsidRPr="0063758A" w:rsidRDefault="0063758A" w:rsidP="0063758A">
      <w:pPr>
        <w:pStyle w:val="Web"/>
        <w:shd w:val="clear" w:color="auto" w:fill="FFFFFF"/>
        <w:spacing w:before="0" w:beforeAutospacing="0" w:after="0" w:afterAutospacing="0"/>
        <w:jc w:val="both"/>
        <w:rPr>
          <w:rFonts w:ascii="Arial Narrow" w:hAnsi="Arial Narrow"/>
        </w:rPr>
      </w:pPr>
      <w:r w:rsidRPr="0063758A">
        <w:rPr>
          <w:rFonts w:ascii="Arial Narrow" w:hAnsi="Arial Narrow"/>
        </w:rPr>
        <w:t>Σύμφωνα με πρόσφατη ανακοίνωση του Χρηματιστηρίου Αξιών Βουδαπέστης (BSE), ο συνολικός τζίρος τον Ιανουάριο 2021 διαμορφώθηκε στα €1,3 δισεκ., μειωμένος κατά 1,5% σε σχέση με τον Δεκέμβριο 2020 και κατά 3% μειωμένος σε σχέση με τον Ιανουάριο 2020. Ο μέσος ημερήσιος τζίρος για τον Ιανουάριο διαμορφώθηκε στα €38,5 εκ. Η αγοραπωλησία μετοχών της τράπεζας ΟΤΡ συντέλεσε στο 44,5% του συνολικού τζίρου (για πρώτη φορά, μετά από μεγάλο χρονικό διάστημα, κάτω του 50%). Η αγοραπωλησία μετοχών της φαρμακοβιομηχανίας Richter δημιούργησε το 24,9% του τζίρου, ενώ οι μετοχές της πετρελαϊκής εταιρείας MOL δημιούργησαν 18,2% του συνολικού τζίρου.</w:t>
      </w:r>
    </w:p>
    <w:p w:rsidR="0063758A" w:rsidRPr="0063758A" w:rsidRDefault="0063758A" w:rsidP="0063758A">
      <w:pPr>
        <w:pStyle w:val="Web"/>
        <w:shd w:val="clear" w:color="auto" w:fill="FFFFFF"/>
        <w:spacing w:before="0" w:beforeAutospacing="0" w:after="0" w:afterAutospacing="0"/>
        <w:jc w:val="both"/>
        <w:rPr>
          <w:rFonts w:ascii="Arial Narrow" w:hAnsi="Arial Narrow"/>
        </w:rPr>
      </w:pPr>
    </w:p>
    <w:p w:rsidR="009B03DC" w:rsidRPr="00A01C65" w:rsidRDefault="009B03DC" w:rsidP="00A01C65">
      <w:pPr>
        <w:jc w:val="both"/>
        <w:rPr>
          <w:rFonts w:ascii="Arial Narrow" w:hAnsi="Arial Narrow" w:cs="Calibri"/>
        </w:rPr>
      </w:pPr>
    </w:p>
    <w:p w:rsidR="0099736B" w:rsidRDefault="0099736B" w:rsidP="009E3B95">
      <w:pPr>
        <w:jc w:val="both"/>
        <w:rPr>
          <w:rFonts w:ascii="Arial Narrow" w:hAnsi="Arial Narrow" w:cs="Calibri"/>
        </w:rPr>
      </w:pPr>
    </w:p>
    <w:p w:rsidR="0099736B" w:rsidRPr="0061655F" w:rsidRDefault="0099736B" w:rsidP="0099736B">
      <w:pPr>
        <w:pStyle w:val="aa"/>
        <w:ind w:left="0"/>
        <w:rPr>
          <w:rFonts w:ascii="Arial Narrow" w:hAnsi="Arial Narrow"/>
          <w:b/>
          <w:color w:val="3366FF"/>
        </w:rPr>
      </w:pPr>
      <w:r>
        <w:rPr>
          <w:rFonts w:ascii="Arial Narrow" w:hAnsi="Arial Narrow"/>
          <w:b/>
          <w:color w:val="3366FF"/>
        </w:rPr>
        <w:t xml:space="preserve">Β. </w:t>
      </w:r>
      <w:r w:rsidRPr="00E91A4B">
        <w:rPr>
          <w:rFonts w:ascii="Arial Narrow" w:hAnsi="Arial Narrow"/>
          <w:b/>
          <w:color w:val="3366FF"/>
        </w:rPr>
        <w:t>Διεθνείς Συμφωνίες – Συνεργασίες – Διαγωνισμοί</w:t>
      </w:r>
    </w:p>
    <w:p w:rsidR="0099736B" w:rsidRDefault="0099736B" w:rsidP="009E3B95">
      <w:pPr>
        <w:jc w:val="both"/>
        <w:rPr>
          <w:rFonts w:ascii="Arial Narrow" w:hAnsi="Arial Narrow" w:cs="Calibri"/>
        </w:rPr>
      </w:pPr>
    </w:p>
    <w:p w:rsidR="0099736B" w:rsidRPr="009E3B95" w:rsidRDefault="0099736B" w:rsidP="009E3B95">
      <w:pPr>
        <w:jc w:val="both"/>
        <w:rPr>
          <w:rFonts w:ascii="Arial Narrow" w:hAnsi="Arial Narrow" w:cs="Calibri"/>
        </w:rPr>
      </w:pPr>
    </w:p>
    <w:p w:rsidR="009E3B95" w:rsidRPr="0099736B" w:rsidRDefault="0099736B" w:rsidP="0099736B">
      <w:pPr>
        <w:numPr>
          <w:ilvl w:val="0"/>
          <w:numId w:val="2"/>
        </w:numPr>
        <w:jc w:val="both"/>
        <w:rPr>
          <w:rFonts w:ascii="Arial Narrow" w:hAnsi="Arial Narrow"/>
          <w:u w:val="single"/>
        </w:rPr>
      </w:pPr>
      <w:r w:rsidRPr="0099736B">
        <w:rPr>
          <w:rFonts w:ascii="Arial Narrow" w:hAnsi="Arial Narrow"/>
          <w:u w:val="single"/>
        </w:rPr>
        <w:t>Υγροποιημένο φυσικό αέριο μέσω Κροατίας</w:t>
      </w:r>
    </w:p>
    <w:p w:rsidR="0099736B" w:rsidRDefault="0099736B" w:rsidP="0099736B">
      <w:pPr>
        <w:jc w:val="both"/>
        <w:rPr>
          <w:rFonts w:ascii="Arial Narrow" w:hAnsi="Arial Narrow"/>
        </w:rPr>
      </w:pPr>
      <w:r>
        <w:rPr>
          <w:rFonts w:ascii="Arial Narrow" w:hAnsi="Arial Narrow"/>
        </w:rPr>
        <w:t xml:space="preserve">Η ουγγρική εταιρεία εμπορίου φυσικού αερίου </w:t>
      </w:r>
      <w:r w:rsidRPr="00D67FC2">
        <w:rPr>
          <w:rFonts w:ascii="Arial Narrow" w:hAnsi="Arial Narrow"/>
        </w:rPr>
        <w:t xml:space="preserve">MFGK, μέλος του </w:t>
      </w:r>
      <w:r>
        <w:rPr>
          <w:rFonts w:ascii="Arial Narrow" w:hAnsi="Arial Narrow"/>
        </w:rPr>
        <w:t xml:space="preserve">κρατικού ενεργειακού </w:t>
      </w:r>
      <w:r w:rsidRPr="00D67FC2">
        <w:rPr>
          <w:rFonts w:ascii="Arial Narrow" w:hAnsi="Arial Narrow"/>
        </w:rPr>
        <w:t xml:space="preserve">ομίλου MVM, </w:t>
      </w:r>
      <w:r>
        <w:rPr>
          <w:rFonts w:ascii="Arial Narrow" w:hAnsi="Arial Narrow"/>
        </w:rPr>
        <w:t xml:space="preserve">μέσω της θυγατρικής της στην Κροατία, </w:t>
      </w:r>
      <w:r w:rsidRPr="00D67FC2">
        <w:rPr>
          <w:rFonts w:ascii="Arial Narrow" w:hAnsi="Arial Narrow"/>
        </w:rPr>
        <w:t xml:space="preserve">παρέλαβε το πρώτο φορτίο υγροποιημένου φυσικού αερίου (LNG) </w:t>
      </w:r>
      <w:r>
        <w:rPr>
          <w:rFonts w:ascii="Arial Narrow" w:hAnsi="Arial Narrow"/>
        </w:rPr>
        <w:t>προέλευσης ΗΠΑ, σ</w:t>
      </w:r>
      <w:r w:rsidRPr="00586E01">
        <w:rPr>
          <w:rFonts w:ascii="Arial Narrow" w:hAnsi="Arial Narrow"/>
        </w:rPr>
        <w:t>τον τερματικό σταθμό Krk της Κροατίας</w:t>
      </w:r>
      <w:r w:rsidRPr="00D67FC2">
        <w:rPr>
          <w:rFonts w:ascii="Arial Narrow" w:hAnsi="Arial Narrow"/>
        </w:rPr>
        <w:t>.</w:t>
      </w:r>
      <w:r>
        <w:rPr>
          <w:rFonts w:ascii="Arial Narrow" w:hAnsi="Arial Narrow"/>
        </w:rPr>
        <w:t xml:space="preserve"> Το φορτίο των 91 εκ. κυβ. μ. </w:t>
      </w:r>
      <w:r w:rsidRPr="00D67FC2">
        <w:rPr>
          <w:rFonts w:ascii="Arial Narrow" w:hAnsi="Arial Narrow"/>
        </w:rPr>
        <w:t>LNG</w:t>
      </w:r>
      <w:r>
        <w:rPr>
          <w:rFonts w:ascii="Arial Narrow" w:hAnsi="Arial Narrow"/>
        </w:rPr>
        <w:t xml:space="preserve"> μεταφέρθηκε με το δεξαμενόπλοιο </w:t>
      </w:r>
      <w:r w:rsidRPr="00586E01">
        <w:rPr>
          <w:rFonts w:ascii="Arial Narrow" w:hAnsi="Arial Narrow"/>
        </w:rPr>
        <w:t>«</w:t>
      </w:r>
      <w:r w:rsidRPr="00BD019E">
        <w:rPr>
          <w:rFonts w:ascii="Arial Narrow" w:hAnsi="Arial Narrow"/>
        </w:rPr>
        <w:t>Tristar Ruby»</w:t>
      </w:r>
      <w:r w:rsidRPr="00586E01">
        <w:rPr>
          <w:rFonts w:ascii="Arial Narrow" w:hAnsi="Arial Narrow"/>
        </w:rPr>
        <w:t> το οπ</w:t>
      </w:r>
      <w:r>
        <w:rPr>
          <w:rFonts w:ascii="Arial Narrow" w:hAnsi="Arial Narrow"/>
        </w:rPr>
        <w:t>ο</w:t>
      </w:r>
      <w:r w:rsidRPr="00586E01">
        <w:rPr>
          <w:rFonts w:ascii="Arial Narrow" w:hAnsi="Arial Narrow"/>
        </w:rPr>
        <w:t>ίο</w:t>
      </w:r>
      <w:r w:rsidRPr="00BD019E">
        <w:rPr>
          <w:rFonts w:ascii="Arial Narrow" w:hAnsi="Arial Narrow"/>
        </w:rPr>
        <w:t xml:space="preserve"> έδεσε στον πλωτό σταθμό Omisalj της </w:t>
      </w:r>
      <w:r>
        <w:rPr>
          <w:rFonts w:ascii="Arial Narrow" w:hAnsi="Arial Narrow"/>
        </w:rPr>
        <w:t xml:space="preserve">νήσου </w:t>
      </w:r>
      <w:r w:rsidRPr="00586E01">
        <w:rPr>
          <w:rFonts w:ascii="Arial Narrow" w:hAnsi="Arial Narrow"/>
        </w:rPr>
        <w:t>Krk</w:t>
      </w:r>
      <w:r w:rsidRPr="00BD019E">
        <w:rPr>
          <w:rFonts w:ascii="Arial Narrow" w:hAnsi="Arial Narrow"/>
        </w:rPr>
        <w:t xml:space="preserve">, την </w:t>
      </w:r>
      <w:r>
        <w:rPr>
          <w:rFonts w:ascii="Arial Narrow" w:hAnsi="Arial Narrow"/>
        </w:rPr>
        <w:t>1</w:t>
      </w:r>
      <w:r w:rsidRPr="00BD019E">
        <w:rPr>
          <w:rFonts w:ascii="Arial Narrow" w:hAnsi="Arial Narrow"/>
        </w:rPr>
        <w:t>η</w:t>
      </w:r>
      <w:r>
        <w:rPr>
          <w:rFonts w:ascii="Arial Narrow" w:hAnsi="Arial Narrow"/>
        </w:rPr>
        <w:t xml:space="preserve"> Ιανουαρίου. Η</w:t>
      </w:r>
      <w:r w:rsidRPr="00857185">
        <w:rPr>
          <w:rFonts w:ascii="Arial Narrow" w:hAnsi="Arial Narrow"/>
        </w:rPr>
        <w:t xml:space="preserve"> </w:t>
      </w:r>
      <w:r w:rsidRPr="00594B33">
        <w:rPr>
          <w:rFonts w:ascii="Arial Narrow" w:hAnsi="Arial Narrow"/>
        </w:rPr>
        <w:t>MFGK</w:t>
      </w:r>
      <w:r w:rsidRPr="00857185">
        <w:rPr>
          <w:rFonts w:ascii="Arial Narrow" w:hAnsi="Arial Narrow"/>
        </w:rPr>
        <w:t xml:space="preserve"> </w:t>
      </w:r>
      <w:r>
        <w:rPr>
          <w:rFonts w:ascii="Arial Narrow" w:hAnsi="Arial Narrow"/>
        </w:rPr>
        <w:t>έχει</w:t>
      </w:r>
      <w:r w:rsidRPr="00857185">
        <w:rPr>
          <w:rFonts w:ascii="Arial Narrow" w:hAnsi="Arial Narrow"/>
        </w:rPr>
        <w:t xml:space="preserve"> </w:t>
      </w:r>
      <w:r>
        <w:rPr>
          <w:rFonts w:ascii="Arial Narrow" w:hAnsi="Arial Narrow"/>
        </w:rPr>
        <w:t>συνάψει</w:t>
      </w:r>
      <w:r w:rsidRPr="00857185">
        <w:rPr>
          <w:rFonts w:ascii="Arial Narrow" w:hAnsi="Arial Narrow"/>
        </w:rPr>
        <w:t xml:space="preserve"> </w:t>
      </w:r>
      <w:r>
        <w:rPr>
          <w:rFonts w:ascii="Arial Narrow" w:hAnsi="Arial Narrow"/>
        </w:rPr>
        <w:t>συμφωνίες</w:t>
      </w:r>
      <w:r w:rsidRPr="00857185">
        <w:rPr>
          <w:rFonts w:ascii="Arial Narrow" w:hAnsi="Arial Narrow"/>
        </w:rPr>
        <w:t xml:space="preserve"> </w:t>
      </w:r>
      <w:r>
        <w:rPr>
          <w:rFonts w:ascii="Arial Narrow" w:hAnsi="Arial Narrow"/>
        </w:rPr>
        <w:t>για</w:t>
      </w:r>
      <w:r w:rsidRPr="00857185">
        <w:rPr>
          <w:rFonts w:ascii="Arial Narrow" w:hAnsi="Arial Narrow"/>
        </w:rPr>
        <w:t xml:space="preserve"> </w:t>
      </w:r>
      <w:r>
        <w:rPr>
          <w:rFonts w:ascii="Arial Narrow" w:hAnsi="Arial Narrow"/>
        </w:rPr>
        <w:t>την</w:t>
      </w:r>
      <w:r w:rsidRPr="00857185">
        <w:rPr>
          <w:rFonts w:ascii="Arial Narrow" w:hAnsi="Arial Narrow"/>
        </w:rPr>
        <w:t xml:space="preserve"> </w:t>
      </w:r>
      <w:r>
        <w:rPr>
          <w:rFonts w:ascii="Arial Narrow" w:hAnsi="Arial Narrow"/>
        </w:rPr>
        <w:t>ατμοποίηση (</w:t>
      </w:r>
      <w:r w:rsidRPr="00594B33">
        <w:rPr>
          <w:rFonts w:ascii="Arial Narrow" w:hAnsi="Arial Narrow"/>
        </w:rPr>
        <w:t>επαναεριοποίηση)</w:t>
      </w:r>
      <w:r w:rsidRPr="00857185">
        <w:rPr>
          <w:rFonts w:ascii="Arial Narrow" w:hAnsi="Arial Narrow"/>
        </w:rPr>
        <w:t xml:space="preserve"> 6,75 </w:t>
      </w:r>
      <w:r>
        <w:rPr>
          <w:rFonts w:ascii="Arial Narrow" w:hAnsi="Arial Narrow"/>
        </w:rPr>
        <w:t>δισεκ</w:t>
      </w:r>
      <w:r w:rsidRPr="00857185">
        <w:rPr>
          <w:rFonts w:ascii="Arial Narrow" w:hAnsi="Arial Narrow"/>
        </w:rPr>
        <w:t xml:space="preserve">. </w:t>
      </w:r>
      <w:r>
        <w:rPr>
          <w:rFonts w:ascii="Arial Narrow" w:hAnsi="Arial Narrow"/>
        </w:rPr>
        <w:t>κυβ</w:t>
      </w:r>
      <w:r w:rsidRPr="00857185">
        <w:rPr>
          <w:rFonts w:ascii="Arial Narrow" w:hAnsi="Arial Narrow"/>
        </w:rPr>
        <w:t xml:space="preserve">. </w:t>
      </w:r>
      <w:r>
        <w:rPr>
          <w:rFonts w:ascii="Arial Narrow" w:hAnsi="Arial Narrow"/>
        </w:rPr>
        <w:t>μ. (</w:t>
      </w:r>
      <w:r w:rsidRPr="00594B33">
        <w:rPr>
          <w:rFonts w:ascii="Arial Narrow" w:hAnsi="Arial Narrow"/>
        </w:rPr>
        <w:t>bcm</w:t>
      </w:r>
      <w:r>
        <w:rPr>
          <w:rFonts w:ascii="Arial Narrow" w:hAnsi="Arial Narrow"/>
        </w:rPr>
        <w:t>) υγροποιημένου φυσικού αερίου σ</w:t>
      </w:r>
      <w:r w:rsidRPr="00586E01">
        <w:rPr>
          <w:rFonts w:ascii="Arial Narrow" w:hAnsi="Arial Narrow"/>
        </w:rPr>
        <w:t>τον τερματικό σταθμό Krk</w:t>
      </w:r>
      <w:r>
        <w:rPr>
          <w:rFonts w:ascii="Arial Narrow" w:hAnsi="Arial Narrow"/>
        </w:rPr>
        <w:t xml:space="preserve">, καθώς και σχετικές συμφωνίες προμήθειας </w:t>
      </w:r>
      <w:r w:rsidRPr="00D67FC2">
        <w:rPr>
          <w:rFonts w:ascii="Arial Narrow" w:hAnsi="Arial Narrow"/>
        </w:rPr>
        <w:t>LNG</w:t>
      </w:r>
      <w:r>
        <w:rPr>
          <w:rFonts w:ascii="Arial Narrow" w:hAnsi="Arial Narrow"/>
        </w:rPr>
        <w:t xml:space="preserve"> για περίοδο 7 ετών. Η παραλαβή του προαναφερόμενου φορτίου εμπίπτει στις συμφωνίες αυτές. </w:t>
      </w:r>
    </w:p>
    <w:p w:rsidR="0099736B" w:rsidRDefault="0099736B" w:rsidP="0099736B">
      <w:pPr>
        <w:jc w:val="both"/>
        <w:rPr>
          <w:rFonts w:ascii="Arial Narrow" w:hAnsi="Arial Narrow"/>
        </w:rPr>
      </w:pPr>
      <w:r>
        <w:rPr>
          <w:rFonts w:ascii="Arial Narrow" w:hAnsi="Arial Narrow"/>
        </w:rPr>
        <w:t xml:space="preserve">Η έναρξη προμήθειας φυσικού αερίου μέσω της όδευσης από Κροατία, σηματοδοτεί μια νέα εποχή για την ενεργειακή ασφάλεια της Ουγγαρίας, που διευρύνει με αυτό τον τρόπο, τόσο την διαφοροποίηση των πηγών προμήθειας όσο και των δικτύων διανομής, των αναγκαίων για τη χώρα ενεργειακών πόρων. Η σημασία της γεωστρατηγικής διάστασης που παρέχει στην Ουγγαρία η αξιοποίηση των δυνατοτήτων του </w:t>
      </w:r>
      <w:r w:rsidRPr="00586E01">
        <w:rPr>
          <w:rFonts w:ascii="Arial Narrow" w:hAnsi="Arial Narrow"/>
        </w:rPr>
        <w:t>τε</w:t>
      </w:r>
      <w:r>
        <w:rPr>
          <w:rFonts w:ascii="Arial Narrow" w:hAnsi="Arial Narrow"/>
        </w:rPr>
        <w:t>ρματικού</w:t>
      </w:r>
      <w:r w:rsidRPr="00586E01">
        <w:rPr>
          <w:rFonts w:ascii="Arial Narrow" w:hAnsi="Arial Narrow"/>
        </w:rPr>
        <w:t xml:space="preserve"> σταθμ</w:t>
      </w:r>
      <w:r>
        <w:rPr>
          <w:rFonts w:ascii="Arial Narrow" w:hAnsi="Arial Narrow"/>
        </w:rPr>
        <w:t>ού στο</w:t>
      </w:r>
      <w:r w:rsidRPr="00586E01">
        <w:rPr>
          <w:rFonts w:ascii="Arial Narrow" w:hAnsi="Arial Narrow"/>
        </w:rPr>
        <w:t xml:space="preserve"> Krk</w:t>
      </w:r>
      <w:r>
        <w:rPr>
          <w:rFonts w:ascii="Arial Narrow" w:hAnsi="Arial Narrow"/>
        </w:rPr>
        <w:t xml:space="preserve">, σε σχέση με την αυξανόμενη, παγκοσμίως, αγορά </w:t>
      </w:r>
      <w:r w:rsidRPr="00D67FC2">
        <w:rPr>
          <w:rFonts w:ascii="Arial Narrow" w:hAnsi="Arial Narrow"/>
        </w:rPr>
        <w:t>LNG</w:t>
      </w:r>
      <w:r>
        <w:rPr>
          <w:rFonts w:ascii="Arial Narrow" w:hAnsi="Arial Narrow"/>
        </w:rPr>
        <w:t>, αποτυπώνεται εμφατικά και στη νέα Εθνική Ενεργειακή Στρατηγική (</w:t>
      </w:r>
      <w:r w:rsidRPr="007970F1">
        <w:rPr>
          <w:rFonts w:ascii="Arial Narrow" w:hAnsi="Arial Narrow"/>
        </w:rPr>
        <w:t>National Energy Strategy)</w:t>
      </w:r>
      <w:r>
        <w:rPr>
          <w:rFonts w:ascii="Arial Narrow" w:hAnsi="Arial Narrow"/>
        </w:rPr>
        <w:t xml:space="preserve"> της Ουγγαρίας. </w:t>
      </w:r>
    </w:p>
    <w:p w:rsidR="00F613E8" w:rsidRDefault="0099736B" w:rsidP="0099736B">
      <w:pPr>
        <w:jc w:val="both"/>
        <w:rPr>
          <w:rFonts w:ascii="Arial Narrow" w:hAnsi="Arial Narrow"/>
        </w:rPr>
      </w:pPr>
      <w:r>
        <w:rPr>
          <w:rFonts w:ascii="Arial Narrow" w:hAnsi="Arial Narrow"/>
        </w:rPr>
        <w:t xml:space="preserve">Παράλληλα, η έναρξη δραστηριοτήτων της </w:t>
      </w:r>
      <w:r w:rsidRPr="00D67FC2">
        <w:rPr>
          <w:rFonts w:ascii="Arial Narrow" w:hAnsi="Arial Narrow"/>
        </w:rPr>
        <w:t>MFGK</w:t>
      </w:r>
      <w:r>
        <w:rPr>
          <w:rFonts w:ascii="Arial Narrow" w:hAnsi="Arial Narrow"/>
        </w:rPr>
        <w:t xml:space="preserve"> στον </w:t>
      </w:r>
      <w:r w:rsidRPr="00586E01">
        <w:rPr>
          <w:rFonts w:ascii="Arial Narrow" w:hAnsi="Arial Narrow"/>
        </w:rPr>
        <w:t xml:space="preserve">τερματικό σταθμό </w:t>
      </w:r>
      <w:r w:rsidRPr="00D67FC2">
        <w:rPr>
          <w:rFonts w:ascii="Arial Narrow" w:hAnsi="Arial Narrow"/>
        </w:rPr>
        <w:t>LNG</w:t>
      </w:r>
      <w:r w:rsidRPr="00586E01">
        <w:rPr>
          <w:rFonts w:ascii="Arial Narrow" w:hAnsi="Arial Narrow"/>
        </w:rPr>
        <w:t xml:space="preserve"> </w:t>
      </w:r>
      <w:r>
        <w:rPr>
          <w:rFonts w:ascii="Arial Narrow" w:hAnsi="Arial Narrow"/>
        </w:rPr>
        <w:t xml:space="preserve">της νήσου </w:t>
      </w:r>
      <w:r w:rsidRPr="00586E01">
        <w:rPr>
          <w:rFonts w:ascii="Arial Narrow" w:hAnsi="Arial Narrow"/>
        </w:rPr>
        <w:t>Krk</w:t>
      </w:r>
      <w:r>
        <w:rPr>
          <w:rFonts w:ascii="Arial Narrow" w:hAnsi="Arial Narrow"/>
        </w:rPr>
        <w:t xml:space="preserve">, συνάδει με τους βασικούς στρατηγικούς στόχους της μητρικής </w:t>
      </w:r>
      <w:r w:rsidRPr="00D67FC2">
        <w:rPr>
          <w:rFonts w:ascii="Arial Narrow" w:hAnsi="Arial Narrow"/>
        </w:rPr>
        <w:t>MVM</w:t>
      </w:r>
      <w:r>
        <w:rPr>
          <w:rFonts w:ascii="Arial Narrow" w:hAnsi="Arial Narrow"/>
        </w:rPr>
        <w:t xml:space="preserve"> για διαφοροποίηση των πηγών προμήθειας ενεργειακών πόρων και της επέκτασης των δραστηριοτήτων του ομίλου στο εξωτερικό. Ο ενεργειακός όμιλος </w:t>
      </w:r>
      <w:r w:rsidRPr="00D67FC2">
        <w:rPr>
          <w:rFonts w:ascii="Arial Narrow" w:hAnsi="Arial Narrow"/>
        </w:rPr>
        <w:t>MVM</w:t>
      </w:r>
      <w:r>
        <w:rPr>
          <w:rFonts w:ascii="Arial Narrow" w:hAnsi="Arial Narrow"/>
        </w:rPr>
        <w:t xml:space="preserve"> (ο ενδέκατος μεγαλύτερος στην Κεντρο-Ανατολική Ευρώπη), με δραστηριότητες σε όλο το πλέγμα παραγωγής, διαχείρισης και εμπορίας ηλεκτρικής ενέργειας και φυσικού αερίου, αποτελεί έναν από τους βασικούς εγγυητές της ενεργειακής ασφάλειας της Ουγγαρίας. Ειδικότερα, η όδευση φυσικού αερίου μέσω του σταθμού στο </w:t>
      </w:r>
      <w:r w:rsidRPr="00586E01">
        <w:rPr>
          <w:rFonts w:ascii="Arial Narrow" w:hAnsi="Arial Narrow"/>
        </w:rPr>
        <w:t>Krk</w:t>
      </w:r>
      <w:r>
        <w:rPr>
          <w:rFonts w:ascii="Arial Narrow" w:hAnsi="Arial Narrow"/>
        </w:rPr>
        <w:t xml:space="preserve">, διευκολύνει τα σχέδια του ομίλου για περιφερειακή επέκτασή του στις αγορές της Αυστρίας, Σλοβακίας, Τσεχίας, Κροατίας, Σερβίας και Ρουμανίας. Τέλος, η όδευση υγροποιημένου φυσικού αερίου από την Κροατία, συμπεριλαμβάνεται και στα σχέδια προτεραιότητας της ΕΕ, η οποία χρηματοδότησε με </w:t>
      </w:r>
      <w:r w:rsidRPr="00A24A63">
        <w:rPr>
          <w:rFonts w:ascii="Arial Narrow" w:hAnsi="Arial Narrow"/>
        </w:rPr>
        <w:t xml:space="preserve">€101,4 </w:t>
      </w:r>
      <w:r>
        <w:rPr>
          <w:rFonts w:ascii="Arial Narrow" w:hAnsi="Arial Narrow"/>
        </w:rPr>
        <w:t xml:space="preserve">εκ. την κατασκευή του σταθμού στο </w:t>
      </w:r>
      <w:r w:rsidRPr="00586E01">
        <w:rPr>
          <w:rFonts w:ascii="Arial Narrow" w:hAnsi="Arial Narrow"/>
        </w:rPr>
        <w:t>Krk</w:t>
      </w:r>
      <w:r>
        <w:rPr>
          <w:rFonts w:ascii="Arial Narrow" w:hAnsi="Arial Narrow"/>
        </w:rPr>
        <w:t xml:space="preserve"> (από τους πόρους του Ταμείου </w:t>
      </w:r>
      <w:r w:rsidRPr="00A24A63">
        <w:rPr>
          <w:rFonts w:ascii="Arial Narrow" w:hAnsi="Arial Narrow"/>
        </w:rPr>
        <w:t>CEF)</w:t>
      </w:r>
      <w:r>
        <w:rPr>
          <w:rFonts w:ascii="Arial Narrow" w:hAnsi="Arial Narrow"/>
        </w:rPr>
        <w:t>, που μπορεί να αποτελέσει το νοτιότερο τερματικό σταθμό του προτεινόμενου διαδρόμου φυσικού αερίου Βορρά-Νότου (ως μέρος του Πρωτοβουλίας για την Ενεργειακή Συνδεσιμότητα  της Κεντρικής και Νοτιο-Ανατολικής Ευρώπης -</w:t>
      </w:r>
      <w:r w:rsidRPr="00A24A63">
        <w:rPr>
          <w:rFonts w:ascii="Arial Narrow" w:hAnsi="Arial Narrow"/>
        </w:rPr>
        <w:t>CESEC</w:t>
      </w:r>
      <w:r>
        <w:rPr>
          <w:rFonts w:ascii="Arial Narrow" w:hAnsi="Arial Narrow"/>
        </w:rPr>
        <w:t xml:space="preserve">). </w:t>
      </w:r>
    </w:p>
    <w:p w:rsidR="00F613E8" w:rsidRDefault="00F613E8" w:rsidP="0099736B">
      <w:pPr>
        <w:jc w:val="both"/>
        <w:rPr>
          <w:rFonts w:ascii="Arial Narrow" w:hAnsi="Arial Narrow"/>
        </w:rPr>
      </w:pPr>
    </w:p>
    <w:p w:rsidR="00F613E8" w:rsidRPr="00F613E8" w:rsidRDefault="00F613E8" w:rsidP="00F613E8">
      <w:pPr>
        <w:numPr>
          <w:ilvl w:val="0"/>
          <w:numId w:val="2"/>
        </w:numPr>
        <w:jc w:val="both"/>
        <w:rPr>
          <w:rFonts w:ascii="Arial Narrow" w:hAnsi="Arial Narrow"/>
          <w:u w:val="single"/>
        </w:rPr>
      </w:pPr>
      <w:r w:rsidRPr="00F613E8">
        <w:rPr>
          <w:rFonts w:ascii="Arial Narrow" w:hAnsi="Arial Narrow"/>
          <w:u w:val="single"/>
        </w:rPr>
        <w:t>Νέο ομόλογο της Διεθνούς Τράπεζας Επενδύσεων (ΙΙΒ)</w:t>
      </w:r>
    </w:p>
    <w:p w:rsidR="00F613E8" w:rsidRPr="0068384C" w:rsidRDefault="00F613E8" w:rsidP="00F613E8">
      <w:pPr>
        <w:jc w:val="both"/>
        <w:rPr>
          <w:rFonts w:ascii="Arial Narrow" w:hAnsi="Arial Narrow"/>
        </w:rPr>
      </w:pPr>
      <w:r w:rsidRPr="00EB340E">
        <w:rPr>
          <w:rFonts w:ascii="Arial Narrow" w:hAnsi="Arial Narrow"/>
        </w:rPr>
        <w:t xml:space="preserve">Σύμφωνα με </w:t>
      </w:r>
      <w:r>
        <w:rPr>
          <w:rFonts w:ascii="Arial Narrow" w:hAnsi="Arial Narrow"/>
        </w:rPr>
        <w:t xml:space="preserve">δημοσιογραφικές πληροφορίες, η ΙΙΒ με έδρα την Βουδαπέστη, </w:t>
      </w:r>
      <w:r w:rsidRPr="00F613E8">
        <w:rPr>
          <w:rFonts w:ascii="Arial Narrow" w:hAnsi="Arial Narrow"/>
        </w:rPr>
        <w:t xml:space="preserve">ανακοίνωσε την έκδοση ομολόγων ύψους </w:t>
      </w:r>
      <w:r w:rsidRPr="0068384C">
        <w:rPr>
          <w:rFonts w:ascii="Arial Narrow" w:hAnsi="Arial Narrow"/>
        </w:rPr>
        <w:t>€30</w:t>
      </w:r>
      <w:r>
        <w:rPr>
          <w:rFonts w:ascii="Arial Narrow" w:hAnsi="Arial Narrow"/>
        </w:rPr>
        <w:t xml:space="preserve"> εκ.,</w:t>
      </w:r>
      <w:r w:rsidRPr="0068384C">
        <w:rPr>
          <w:rFonts w:ascii="Arial Narrow" w:hAnsi="Arial Narrow"/>
        </w:rPr>
        <w:t xml:space="preserve"> </w:t>
      </w:r>
      <w:r w:rsidRPr="00F613E8">
        <w:rPr>
          <w:rFonts w:ascii="Arial Narrow" w:hAnsi="Arial Narrow"/>
        </w:rPr>
        <w:t>σε συνεργασία με γερμανική ασφαλιστική εταιρεία. Τα 20-ετή ομόλογα (τα μεγαλύτερα σε διάρκεια που έχει εκδώσει ποτέ η IIB), εκτιμήθηκαν στις 90 μονάδες βάσης και θα διατεθούν μέσω του Χρηματιστηρίου Αξιών Δουβλίνου. Τη συναλλαγή θα διενεργήσει η Citigroup</w:t>
      </w:r>
      <w:r w:rsidRPr="008C647C">
        <w:rPr>
          <w:rFonts w:ascii="Arial Narrow" w:hAnsi="Arial Narrow"/>
        </w:rPr>
        <w:t>.</w:t>
      </w:r>
      <w:r>
        <w:rPr>
          <w:rFonts w:ascii="Arial Narrow" w:hAnsi="Arial Narrow"/>
        </w:rPr>
        <w:t xml:space="preserve"> Υπενθυμίζεται ότι το 2018 αποφασίστηκε η μεταφορά της έδρας της ΙΙΒ στην Βουδαπέστη και έκτοτε, η ΙΙΒ λειτουργεί </w:t>
      </w:r>
      <w:r w:rsidRPr="00F613E8">
        <w:rPr>
          <w:rFonts w:ascii="Arial Narrow" w:hAnsi="Arial Narrow"/>
        </w:rPr>
        <w:t>ως η μόνη πολυμερής τράπεζα στην Κεντρο-ανατολική Ευρώπη, διεκδικώντας  ρόλο αντίστοιχο της Ευρωπαϊκής Τράπεζας Ανασυγκρότησης και Ανάπτυξης (EBRD). Η Ουγγαρία, είναι ο δεύτερος μεγαλύτερος μέτοχος της ΙΙΒ</w:t>
      </w:r>
      <w:r>
        <w:rPr>
          <w:rFonts w:ascii="Arial Narrow" w:hAnsi="Arial Narrow"/>
        </w:rPr>
        <w:t>.</w:t>
      </w:r>
    </w:p>
    <w:p w:rsidR="00F613E8" w:rsidRDefault="00F613E8" w:rsidP="0099736B">
      <w:pPr>
        <w:jc w:val="both"/>
        <w:rPr>
          <w:rFonts w:ascii="Arial Narrow" w:hAnsi="Arial Narrow"/>
        </w:rPr>
      </w:pPr>
    </w:p>
    <w:p w:rsidR="0099736B" w:rsidRPr="00B065D8" w:rsidRDefault="0099736B" w:rsidP="00B065D8">
      <w:pPr>
        <w:numPr>
          <w:ilvl w:val="0"/>
          <w:numId w:val="2"/>
        </w:numPr>
        <w:jc w:val="both"/>
        <w:rPr>
          <w:rFonts w:ascii="Arial Narrow" w:hAnsi="Arial Narrow"/>
          <w:u w:val="single"/>
        </w:rPr>
      </w:pPr>
      <w:r w:rsidRPr="00B065D8">
        <w:rPr>
          <w:rFonts w:ascii="Arial Narrow" w:hAnsi="Arial Narrow"/>
          <w:u w:val="single"/>
        </w:rPr>
        <w:t xml:space="preserve"> </w:t>
      </w:r>
      <w:r w:rsidR="00B065D8" w:rsidRPr="00B065D8">
        <w:rPr>
          <w:rFonts w:ascii="Arial Narrow" w:hAnsi="Arial Narrow"/>
          <w:u w:val="single"/>
        </w:rPr>
        <w:t>H Ουγγαρία λαμβάνει χρηματική ενίσχυση  από την ΕΕ, λόγω έκτακτης ανάγκης</w:t>
      </w:r>
    </w:p>
    <w:p w:rsidR="00B065D8" w:rsidRPr="00B065D8" w:rsidRDefault="00B065D8" w:rsidP="00B065D8">
      <w:pPr>
        <w:jc w:val="both"/>
        <w:rPr>
          <w:rFonts w:ascii="Arial Narrow" w:hAnsi="Arial Narrow"/>
        </w:rPr>
      </w:pPr>
      <w:r>
        <w:rPr>
          <w:rFonts w:ascii="Arial Narrow" w:hAnsi="Arial Narrow"/>
        </w:rPr>
        <w:t xml:space="preserve">Το ποσό των </w:t>
      </w:r>
      <w:r w:rsidRPr="000455B1">
        <w:rPr>
          <w:rFonts w:ascii="Arial Narrow" w:hAnsi="Arial Narrow"/>
        </w:rPr>
        <w:t xml:space="preserve">€304 εκ. </w:t>
      </w:r>
      <w:r>
        <w:rPr>
          <w:rFonts w:ascii="Arial Narrow" w:hAnsi="Arial Narrow"/>
        </w:rPr>
        <w:t xml:space="preserve">έλαβε πρόσφατα η Ουγγαρία από το ευρωπαϊκό μέσο </w:t>
      </w:r>
      <w:r w:rsidRPr="000455B1">
        <w:rPr>
          <w:rFonts w:ascii="Arial Narrow" w:hAnsi="Arial Narrow"/>
        </w:rPr>
        <w:t xml:space="preserve">προσωρινής στήριξης για τον μετριασμό των κινδύνων ανεργίας σε κατάσταση έκτακτης ανάγκης (SURE). </w:t>
      </w:r>
      <w:r>
        <w:rPr>
          <w:rFonts w:ascii="Arial Narrow" w:hAnsi="Arial Narrow"/>
        </w:rPr>
        <w:t xml:space="preserve">Από τη συνολική  </w:t>
      </w:r>
      <w:r w:rsidRPr="00453ABA">
        <w:rPr>
          <w:rFonts w:ascii="Arial Narrow" w:hAnsi="Arial Narrow"/>
        </w:rPr>
        <w:t>χρηματοδοτική στήριξη στο πλαίσιο του SURE</w:t>
      </w:r>
      <w:r>
        <w:rPr>
          <w:rFonts w:ascii="Arial Narrow" w:hAnsi="Arial Narrow"/>
        </w:rPr>
        <w:t>, η οποία</w:t>
      </w:r>
      <w:r w:rsidRPr="00453ABA">
        <w:rPr>
          <w:rFonts w:ascii="Arial Narrow" w:hAnsi="Arial Narrow"/>
        </w:rPr>
        <w:t xml:space="preserve"> ανέρχεται σε </w:t>
      </w:r>
      <w:r>
        <w:rPr>
          <w:rFonts w:ascii="Arial Narrow" w:hAnsi="Arial Narrow"/>
        </w:rPr>
        <w:t xml:space="preserve">περίπου </w:t>
      </w:r>
      <w:r w:rsidRPr="000455B1">
        <w:rPr>
          <w:rFonts w:ascii="Arial Narrow" w:hAnsi="Arial Narrow"/>
        </w:rPr>
        <w:t>€</w:t>
      </w:r>
      <w:r w:rsidRPr="00453ABA">
        <w:rPr>
          <w:rFonts w:ascii="Arial Narrow" w:hAnsi="Arial Narrow"/>
        </w:rPr>
        <w:t>90,3 δισ</w:t>
      </w:r>
      <w:r>
        <w:rPr>
          <w:rFonts w:ascii="Arial Narrow" w:hAnsi="Arial Narrow"/>
        </w:rPr>
        <w:t>εκ</w:t>
      </w:r>
      <w:r w:rsidRPr="00453ABA">
        <w:rPr>
          <w:rFonts w:ascii="Arial Narrow" w:hAnsi="Arial Narrow"/>
        </w:rPr>
        <w:t>.</w:t>
      </w:r>
      <w:r>
        <w:rPr>
          <w:rFonts w:ascii="Arial Narrow" w:hAnsi="Arial Narrow"/>
        </w:rPr>
        <w:t xml:space="preserve">, για 18 κ-μ της ΕΕ, η Ουγγαρία δικαιούται </w:t>
      </w:r>
      <w:r w:rsidRPr="000455B1">
        <w:rPr>
          <w:rFonts w:ascii="Arial Narrow" w:hAnsi="Arial Narrow"/>
        </w:rPr>
        <w:t>€</w:t>
      </w:r>
      <w:r>
        <w:rPr>
          <w:rFonts w:ascii="Arial Narrow" w:hAnsi="Arial Narrow"/>
        </w:rPr>
        <w:t>504 εκ. Τον</w:t>
      </w:r>
      <w:r w:rsidRPr="00453ABA">
        <w:rPr>
          <w:rFonts w:ascii="Arial Narrow" w:hAnsi="Arial Narrow"/>
        </w:rPr>
        <w:t xml:space="preserve"> </w:t>
      </w:r>
      <w:r>
        <w:rPr>
          <w:rFonts w:ascii="Arial Narrow" w:hAnsi="Arial Narrow"/>
        </w:rPr>
        <w:t>Δεκέμβριο</w:t>
      </w:r>
      <w:r w:rsidRPr="00453ABA">
        <w:rPr>
          <w:rFonts w:ascii="Arial Narrow" w:hAnsi="Arial Narrow"/>
        </w:rPr>
        <w:t xml:space="preserve"> 2020 </w:t>
      </w:r>
      <w:r>
        <w:rPr>
          <w:rFonts w:ascii="Arial Narrow" w:hAnsi="Arial Narrow"/>
        </w:rPr>
        <w:t>της χορηγήθηκε η πρώτη δόση (</w:t>
      </w:r>
      <w:r w:rsidRPr="00921B2C">
        <w:rPr>
          <w:rFonts w:ascii="Arial Narrow" w:hAnsi="Arial Narrow"/>
        </w:rPr>
        <w:t xml:space="preserve">€200 εκ.) και με την παρούσα δεύτερη δόση των </w:t>
      </w:r>
      <w:r w:rsidRPr="000455B1">
        <w:rPr>
          <w:rFonts w:ascii="Arial Narrow" w:hAnsi="Arial Narrow"/>
        </w:rPr>
        <w:t>€304 εκ.</w:t>
      </w:r>
      <w:r>
        <w:rPr>
          <w:rFonts w:ascii="Arial Narrow" w:hAnsi="Arial Narrow"/>
        </w:rPr>
        <w:t xml:space="preserve"> η Ουγγαρία λαμβάνει το σύνολο της χρηματοδοτικής στήριξης (υπό </w:t>
      </w:r>
      <w:r w:rsidRPr="00921B2C">
        <w:rPr>
          <w:rFonts w:ascii="Arial Narrow" w:hAnsi="Arial Narrow"/>
        </w:rPr>
        <w:t xml:space="preserve">μορφή δανείων με ευνοϊκούς όρους) </w:t>
      </w:r>
      <w:r>
        <w:rPr>
          <w:rFonts w:ascii="Arial Narrow" w:hAnsi="Arial Narrow"/>
        </w:rPr>
        <w:t xml:space="preserve">που της αναλογεί. Ως γνωστόν, </w:t>
      </w:r>
      <w:r w:rsidRPr="00F865A4">
        <w:rPr>
          <w:rFonts w:ascii="Arial Narrow" w:hAnsi="Arial Narrow"/>
        </w:rPr>
        <w:t>για τη χρηματοδότηση του μέσου,</w:t>
      </w:r>
      <w:r>
        <w:rPr>
          <w:rFonts w:ascii="Arial Narrow" w:hAnsi="Arial Narrow"/>
        </w:rPr>
        <w:t xml:space="preserve"> η Ευρωπαϊκή Επιτροπή </w:t>
      </w:r>
      <w:r w:rsidRPr="00F865A4">
        <w:rPr>
          <w:rFonts w:ascii="Arial Narrow" w:hAnsi="Arial Narrow"/>
        </w:rPr>
        <w:t>εκδίδει κοινωνικά ομόλογα. Στις</w:t>
      </w:r>
      <w:r>
        <w:rPr>
          <w:rFonts w:ascii="Arial Narrow" w:hAnsi="Arial Narrow"/>
        </w:rPr>
        <w:t xml:space="preserve"> 26</w:t>
      </w:r>
      <w:r w:rsidRPr="00F865A4">
        <w:rPr>
          <w:rFonts w:ascii="Arial Narrow" w:hAnsi="Arial Narrow"/>
        </w:rPr>
        <w:t xml:space="preserve"> Ιανουαρίου τ.έ., εξέδωσε </w:t>
      </w:r>
      <w:r>
        <w:rPr>
          <w:rFonts w:ascii="Arial Narrow" w:hAnsi="Arial Narrow"/>
        </w:rPr>
        <w:t>για τέταρτη συνεχόμενη φορά κοινωνικά ομόλογα (</w:t>
      </w:r>
      <w:r w:rsidRPr="00F865A4">
        <w:rPr>
          <w:rFonts w:ascii="Arial Narrow" w:hAnsi="Arial Narrow"/>
        </w:rPr>
        <w:t>τα πρώτα εντός του 2021</w:t>
      </w:r>
      <w:r>
        <w:rPr>
          <w:rFonts w:ascii="Arial Narrow" w:hAnsi="Arial Narrow"/>
        </w:rPr>
        <w:t xml:space="preserve">), συνολικού ύψους </w:t>
      </w:r>
      <w:r w:rsidRPr="00F865A4">
        <w:rPr>
          <w:rFonts w:ascii="Arial Narrow" w:hAnsi="Arial Narrow"/>
        </w:rPr>
        <w:t>€</w:t>
      </w:r>
      <w:r>
        <w:rPr>
          <w:rFonts w:ascii="Arial Narrow" w:hAnsi="Arial Narrow"/>
        </w:rPr>
        <w:t>14 δισεκ., για τα οποία οι επενδυτές έδειξαν ιδιαίτερο ενδιαφέρον, η ζήτηση υπερκάλυψε την προσφορά, με αποτέλεσμα πολύ ευνοϊκές τιμές, με το 7-ετές ομόλογο να επιτυγχάνει  αρνητικό επιτόκιο (</w:t>
      </w:r>
      <w:r w:rsidRPr="00F865A4">
        <w:rPr>
          <w:rFonts w:ascii="Arial Narrow" w:hAnsi="Arial Narrow"/>
        </w:rPr>
        <w:t>-0.497%), γεγονός από το οποίο επωφελούνται άμεσα τα κ-μ.</w:t>
      </w:r>
    </w:p>
    <w:p w:rsidR="00B065D8" w:rsidRDefault="00B065D8" w:rsidP="0099736B">
      <w:pPr>
        <w:jc w:val="both"/>
        <w:rPr>
          <w:rFonts w:ascii="Arial Narrow" w:hAnsi="Arial Narrow"/>
        </w:rPr>
      </w:pPr>
    </w:p>
    <w:p w:rsidR="00B065D8" w:rsidRPr="001F5A00" w:rsidRDefault="001F5A00" w:rsidP="001F5A00">
      <w:pPr>
        <w:numPr>
          <w:ilvl w:val="0"/>
          <w:numId w:val="2"/>
        </w:numPr>
        <w:jc w:val="both"/>
        <w:rPr>
          <w:rFonts w:ascii="Arial Narrow" w:hAnsi="Arial Narrow"/>
          <w:u w:val="single"/>
        </w:rPr>
      </w:pPr>
      <w:r w:rsidRPr="001F5A00">
        <w:rPr>
          <w:rFonts w:ascii="Arial Narrow" w:hAnsi="Arial Narrow"/>
          <w:u w:val="single"/>
        </w:rPr>
        <w:t>Δηλώσεις Υπουργού Εξωτερικών &amp; Εμπορίου για Νότιο Διάδρομο Φυσικού Αερίου</w:t>
      </w:r>
    </w:p>
    <w:p w:rsidR="001F5A00" w:rsidRPr="00CC5554" w:rsidRDefault="001F5A00" w:rsidP="001F5A00">
      <w:pPr>
        <w:jc w:val="both"/>
        <w:rPr>
          <w:rFonts w:ascii="Arial Narrow" w:hAnsi="Arial Narrow"/>
        </w:rPr>
      </w:pPr>
      <w:r w:rsidRPr="00CC5554">
        <w:rPr>
          <w:rFonts w:ascii="Arial Narrow" w:hAnsi="Arial Narrow"/>
        </w:rPr>
        <w:t>Κατά τη διάρκεια διαδικτυακής συμμετοχής του στην 7η Διυπουργική Συνάντηση του Γνωμοδοτικού Συμβουλίου για τον Νότιο Διάδρομο Φυσικού Αερίου -Southern Gas Corridor Advisory Council (Μπακού, 11 τρέχοντος), ο Υπουργός Εξωτερικών &amp; Εμπορίου, κ. Péter Szijjárto, δήλωσε ότι η Ουγγαρία θα ολοκληρώσει, μέχρι τον Οκτώβριο, την κατασκευή του αγωγού που θα μεταφέρει φ/α από το Αζερμπαϊτζάν στην Ουγγαρία. Ο κ. Szijjárto, χαρακτήρισε την προμήθεια φ/α ως «ζήτημα εθνικής ασφάλειας για την Ουγγαρία» και επιβεβαίωσε τη δέσμευση της κυβέρνησής του για διαφοροποίηση τόσο των πηγών προμήθειας όσο και των οδεύσεων φ/α. Παράλληλα, επικρότησε την κατασκευή του Νότιου Διαδρόμου Φυσικού Αερίου και κάλεσε τις ευρωπαϊκές χώρες να επισπεύσουν την ολοκλήρωση των τμημάτων του αγωγού στο εθνικό τους έδαφος. Επεσήμανε ότι</w:t>
      </w:r>
      <w:r>
        <w:rPr>
          <w:rFonts w:ascii="Arial Narrow" w:hAnsi="Arial Narrow"/>
        </w:rPr>
        <w:t xml:space="preserve"> ο</w:t>
      </w:r>
      <w:r w:rsidRPr="00CC5554">
        <w:rPr>
          <w:rFonts w:ascii="Arial Narrow" w:hAnsi="Arial Narrow"/>
        </w:rPr>
        <w:t xml:space="preserve"> διασυνδετήριος αγωγός μεταξύ Σερβίας-Ουγγαρίας έχει ήδη ολοκληρωθεί και ζήτησε να ολοκληρωθεί το συντομότερο δυνατόν και ο διασυνδετήριος αγωγός μεταξύ Ελλάδος-Βουλγαρίας (IGB).  </w:t>
      </w:r>
    </w:p>
    <w:p w:rsidR="001F5A00" w:rsidRPr="00CC5554" w:rsidRDefault="001F5A00" w:rsidP="001F5A00">
      <w:pPr>
        <w:jc w:val="both"/>
        <w:rPr>
          <w:rFonts w:ascii="Arial Narrow" w:hAnsi="Arial Narrow"/>
        </w:rPr>
      </w:pPr>
      <w:r w:rsidRPr="00CC5554">
        <w:rPr>
          <w:rFonts w:ascii="Arial Narrow" w:hAnsi="Arial Narrow"/>
        </w:rPr>
        <w:t>Ο κ. Szijjárto, τάχθηκε υπέρ της δυνατότητας αύξησης της δυναμικότητας του Νότιου Διαδρόμου και της προμήθειας μεγαλύτερων ποσοτήτων φ/α από το Αζερμπαϊτζάν το 2023. Παράλληλα, χαιρέτησε την νέα Συμφωνία Συνεργασίας με το Τουρκμενιστάν για κοινά έργα στην Κασπία Θάλασσα, τα οποία θα αποφέρουν, ενδεχομένως, μεγαλύτερες ποσότητες φ/α μέσω του Νότιου Διαδρόμου (βλ. έγγραφ</w:t>
      </w:r>
      <w:r>
        <w:rPr>
          <w:rFonts w:ascii="Arial Narrow" w:hAnsi="Arial Narrow"/>
        </w:rPr>
        <w:t>ό μας</w:t>
      </w:r>
      <w:r w:rsidRPr="00CC5554">
        <w:rPr>
          <w:rFonts w:ascii="Arial Narrow" w:hAnsi="Arial Narrow"/>
        </w:rPr>
        <w:t xml:space="preserve"> με ΑΠΦ.2765/0042/23.01.2020). Τέλος, κ. Szijjárto, τόνισε ότι η κρατική εταιρεία πετρελαίου και φ/α «MOL», είναι ο μεγαλύτερος επενδυτής της Κεντρικής Ευρώπης στο Αζερμπαϊτζάν και διαθέτει, επίσης, το τρίτο μεγαλύτερο χαρτοφυλάκιο στο μεγαλύτερο </w:t>
      </w:r>
      <w:r>
        <w:rPr>
          <w:rFonts w:ascii="Arial Narrow" w:hAnsi="Arial Narrow"/>
        </w:rPr>
        <w:t>πεδίο φ/α της χώρας (βλ. έγγραφό μας</w:t>
      </w:r>
      <w:r w:rsidRPr="00CC5554">
        <w:rPr>
          <w:rFonts w:ascii="Arial Narrow" w:hAnsi="Arial Narrow"/>
        </w:rPr>
        <w:t xml:space="preserve"> με ΑΠΦ.2765/0645/13.11.2019). </w:t>
      </w:r>
    </w:p>
    <w:p w:rsidR="00B065D8" w:rsidRDefault="00B065D8" w:rsidP="0099736B">
      <w:pPr>
        <w:jc w:val="both"/>
        <w:rPr>
          <w:rFonts w:ascii="Arial Narrow" w:hAnsi="Arial Narrow"/>
        </w:rPr>
      </w:pPr>
    </w:p>
    <w:p w:rsidR="00B065D8" w:rsidRPr="00490543" w:rsidRDefault="00490543" w:rsidP="00490543">
      <w:pPr>
        <w:numPr>
          <w:ilvl w:val="0"/>
          <w:numId w:val="2"/>
        </w:numPr>
        <w:jc w:val="both"/>
        <w:rPr>
          <w:rFonts w:ascii="Arial Narrow" w:hAnsi="Arial Narrow"/>
          <w:u w:val="single"/>
        </w:rPr>
      </w:pPr>
      <w:r w:rsidRPr="00490543">
        <w:rPr>
          <w:rFonts w:ascii="Arial Narrow" w:hAnsi="Arial Narrow"/>
          <w:u w:val="single"/>
        </w:rPr>
        <w:t>Πρωτοβουλία Τριών Θαλασσών (TSI)</w:t>
      </w:r>
    </w:p>
    <w:p w:rsidR="00490543" w:rsidRDefault="00490543" w:rsidP="00490543">
      <w:pPr>
        <w:jc w:val="both"/>
        <w:rPr>
          <w:rFonts w:ascii="Arial Narrow" w:hAnsi="Arial Narrow"/>
        </w:rPr>
      </w:pPr>
      <w:r w:rsidRPr="00CC5554">
        <w:rPr>
          <w:rFonts w:ascii="Arial Narrow" w:hAnsi="Arial Narrow"/>
        </w:rPr>
        <w:t xml:space="preserve">Κατά τη διάρκεια διαδικτυακής συμμετοχής του </w:t>
      </w:r>
      <w:r>
        <w:rPr>
          <w:rFonts w:ascii="Arial Narrow" w:hAnsi="Arial Narrow"/>
        </w:rPr>
        <w:t xml:space="preserve">σε διυπουργική Συνάντηση στο πλαίσιο της Πρωτοβουλίας Τριών Θαλασσών, </w:t>
      </w:r>
      <w:r w:rsidRPr="00CC5554">
        <w:rPr>
          <w:rFonts w:ascii="Arial Narrow" w:hAnsi="Arial Narrow"/>
        </w:rPr>
        <w:t>ο Υπουργός Εξωτερικών &amp; Εμπορίου, κ. Péter Szijjárto, δήλωσε ότι η Ουγγαρία</w:t>
      </w:r>
      <w:r>
        <w:rPr>
          <w:rFonts w:ascii="Arial Narrow" w:hAnsi="Arial Narrow"/>
        </w:rPr>
        <w:t xml:space="preserve"> συμμετέχει στο Ταμείο της Πρωτοβουλίας </w:t>
      </w:r>
      <w:r w:rsidRPr="00490543">
        <w:rPr>
          <w:rFonts w:ascii="Arial Narrow" w:hAnsi="Arial Narrow"/>
        </w:rPr>
        <w:t xml:space="preserve">και έχει υποβάλλει συνολικά 16 προτάσεις για υλοποίηση έργων στους τομείς της ψηφιοποίησης, των μεταφορών και της ενέργειας. Τόνισε, ότι η Ουγγαρία υπήρξε ανέκαθεν υπέρ της TSI και υποστηρίζει </w:t>
      </w:r>
      <w:r>
        <w:rPr>
          <w:rFonts w:ascii="Arial Narrow" w:hAnsi="Arial Narrow"/>
        </w:rPr>
        <w:t xml:space="preserve">την υλοποίηση κοινών επενδυτικών έργων που ενισχύουν την συνδεσιμότητα, την ασφάλεια, τη συνοχή και την οικονομική ανάπτυξη των χωρών της κεντρικής Ευρώπης, στους τομείς της ενέργειας, των υποδομών και της πληροφορικής. Επεσήμανε ότι η Κεντρική Ευρώπη, ως προς τον γεωγραφικό άξονά της Βορρά-Νότου, υπολείπεται σε υποδομές της υπόλοιπης Ευρώπης, τόσο στον τομέα της ενέργειας όσο και σε αυτόν των μεταφορών. Συμπλήρωσε, ότι ανατολικά της Γερμανίας δεν υπάρχει σιδηροδρομικό δίκτυο υψηλών ταχυτήτων, κάτι το οποίο θα μπορούσε να υλοποιηθεί στο πλαίσιο της </w:t>
      </w:r>
      <w:r w:rsidRPr="00A16AF4">
        <w:rPr>
          <w:rFonts w:ascii="Arial Narrow" w:hAnsi="Arial Narrow"/>
        </w:rPr>
        <w:t>(TSI)</w:t>
      </w:r>
      <w:r>
        <w:rPr>
          <w:rFonts w:ascii="Arial Narrow" w:hAnsi="Arial Narrow"/>
        </w:rPr>
        <w:t xml:space="preserve">. </w:t>
      </w:r>
    </w:p>
    <w:p w:rsidR="00490543" w:rsidRPr="00F00E7F" w:rsidRDefault="00490543" w:rsidP="00490543">
      <w:pPr>
        <w:jc w:val="both"/>
        <w:rPr>
          <w:rFonts w:ascii="Arial Narrow" w:hAnsi="Arial Narrow"/>
        </w:rPr>
      </w:pPr>
      <w:r>
        <w:rPr>
          <w:rFonts w:ascii="Arial Narrow" w:hAnsi="Arial Narrow"/>
        </w:rPr>
        <w:t xml:space="preserve">Ως προς τις επιδόσεις της Ουγγαρίας, ανέφερε ότι ενισχύονται οι δεσμοί της χώρας του στον ενεργειακό τομέα (κυρίως για φυσικό αέριο) με τις Σλοβακία και Ρουμανία, ενώ αντίστοιχα βήματα συνεργασίας σχεδιάζονται και με την Σλοβενία. Πρόσθεσε, ότι υποστηρίζει την κατασκευής αγωγού φυσικού αερίου μεταξύ Ουγγαρίας-Σλοβενίας και την επέκτασή του μέχρι την Ιταλία. Ο κ. </w:t>
      </w:r>
      <w:r w:rsidRPr="00CC5554">
        <w:rPr>
          <w:rFonts w:ascii="Arial Narrow" w:hAnsi="Arial Narrow"/>
        </w:rPr>
        <w:t xml:space="preserve">Szijjárto, </w:t>
      </w:r>
      <w:r>
        <w:rPr>
          <w:rFonts w:ascii="Arial Narrow" w:hAnsi="Arial Narrow"/>
        </w:rPr>
        <w:t xml:space="preserve">αναφέρθηκε επίσης, στη συνεργασία της χώρας του με την Κροατία στον ενεργειακό τομέα και συγκεκριμένα στην </w:t>
      </w:r>
      <w:r w:rsidRPr="00F00E7F">
        <w:rPr>
          <w:rFonts w:ascii="Arial Narrow" w:hAnsi="Arial Narrow"/>
        </w:rPr>
        <w:t>πρόσφατη προμήθεια φυσικού αερίου από τ</w:t>
      </w:r>
      <w:r>
        <w:rPr>
          <w:rFonts w:ascii="Arial Narrow" w:hAnsi="Arial Narrow"/>
        </w:rPr>
        <w:t xml:space="preserve">ον τερματικό σταθμό LNG στο Krk. Τόνισε, ότι </w:t>
      </w:r>
      <w:r w:rsidRPr="0091695E">
        <w:rPr>
          <w:rFonts w:ascii="Arial Narrow" w:hAnsi="Arial Narrow"/>
        </w:rPr>
        <w:t>η Ουγγαρία δίδει προτεραιότητα στην ενεργειακή ασφάλεια και υλοποιεί εθνική στρατηγική διαφοροποίησης των πηγών προμήθειας ενέργειας. Σε πλαίσιο αυτό, πρόσθεσε, οι αναγκαίες ποσότητες φυσικού αερίου για την εύρυθμη λειτουργία της χώρας είναι ευκταίο να προέρχονται από διαφορετικούς προμηθευτές και μέσω διαφορετικών οδεύσεων.</w:t>
      </w:r>
      <w:r>
        <w:rPr>
          <w:rFonts w:ascii="Arial Narrow" w:hAnsi="Arial Narrow"/>
        </w:rPr>
        <w:t xml:space="preserve"> Ακριβώς για το λόγο αυτό, επεσήμανε, είναι απαραίτητο να ολοκληρωθούν οι εργασίες κατασκευής του διασυνδετήριου αγωγού φυσικού αερίου μεταξύ Ελλάδας και Βουλγαρίας </w:t>
      </w:r>
      <w:r w:rsidRPr="0091695E">
        <w:rPr>
          <w:rFonts w:ascii="Arial Narrow" w:hAnsi="Arial Narrow"/>
        </w:rPr>
        <w:t>(</w:t>
      </w:r>
      <w:r w:rsidRPr="00490543">
        <w:rPr>
          <w:rFonts w:ascii="Arial Narrow" w:hAnsi="Arial Narrow"/>
        </w:rPr>
        <w:t>IGB</w:t>
      </w:r>
      <w:r>
        <w:rPr>
          <w:rFonts w:ascii="Arial Narrow" w:hAnsi="Arial Narrow"/>
        </w:rPr>
        <w:t xml:space="preserve">) και κάλεσε τους ομολόγους του Υπουργούς Ελλάδος και Βουλγαρίας, να εντάξουν στην Πρωτοβουλία Τριών Θαλασσών το συγκεκριμένο έργο ως προτεραιότητα. Τέλος, αναφορικά με την κατασκευή του μήκους 230 χλμ. ουγγρικού τμήματος του </w:t>
      </w:r>
      <w:r w:rsidRPr="00A16AF4">
        <w:rPr>
          <w:rFonts w:ascii="Arial Narrow" w:hAnsi="Arial Narrow"/>
        </w:rPr>
        <w:t>Διεθνούς οδικού άξονα Via Carpatia (μεταξύ Λιθουανίας και Ελλάδας)</w:t>
      </w:r>
      <w:r>
        <w:rPr>
          <w:rFonts w:ascii="Arial Narrow" w:hAnsi="Arial Narrow"/>
        </w:rPr>
        <w:t xml:space="preserve">, δήλωσε ότι θα ολοκληρωθεί το φθινόπωρο. Παράλληλα, έχουν ήδη ξεκινήσει οι διεργασίες </w:t>
      </w:r>
      <w:r w:rsidRPr="00D15003">
        <w:rPr>
          <w:rFonts w:ascii="Arial Narrow" w:hAnsi="Arial Narrow"/>
        </w:rPr>
        <w:t>μεταξύ των χωρών Visegrad</w:t>
      </w:r>
      <w:r>
        <w:rPr>
          <w:rFonts w:ascii="Arial Narrow" w:hAnsi="Arial Narrow"/>
        </w:rPr>
        <w:t xml:space="preserve"> για την κατασκευή σ</w:t>
      </w:r>
      <w:r w:rsidRPr="00D15003">
        <w:rPr>
          <w:rFonts w:ascii="Arial Narrow" w:hAnsi="Arial Narrow"/>
        </w:rPr>
        <w:t>ιδηροδρομικής γραμμής υψηλής ταχύτητας</w:t>
      </w:r>
      <w:r>
        <w:rPr>
          <w:rFonts w:ascii="Arial Narrow" w:hAnsi="Arial Narrow"/>
        </w:rPr>
        <w:t>. Επ’ αυτού</w:t>
      </w:r>
      <w:r w:rsidRPr="00D15003">
        <w:rPr>
          <w:rFonts w:ascii="Arial Narrow" w:hAnsi="Arial Narrow"/>
        </w:rPr>
        <w:t xml:space="preserve">, </w:t>
      </w:r>
      <w:r>
        <w:rPr>
          <w:rFonts w:ascii="Arial Narrow" w:hAnsi="Arial Narrow"/>
        </w:rPr>
        <w:t xml:space="preserve">συμπλήρωσε, </w:t>
      </w:r>
      <w:r w:rsidRPr="00D15003">
        <w:rPr>
          <w:rFonts w:ascii="Arial Narrow" w:hAnsi="Arial Narrow"/>
        </w:rPr>
        <w:t xml:space="preserve">ότι </w:t>
      </w:r>
      <w:r>
        <w:rPr>
          <w:rFonts w:ascii="Arial Narrow" w:hAnsi="Arial Narrow"/>
        </w:rPr>
        <w:t xml:space="preserve">η </w:t>
      </w:r>
      <w:r w:rsidRPr="00D15003">
        <w:rPr>
          <w:rFonts w:ascii="Arial Narrow" w:hAnsi="Arial Narrow"/>
        </w:rPr>
        <w:t>Ουγγαρία θα επιθυμούσε η σιδηροδρομική γραμμή να επεκταθεί μέχρι και το Βουκουρέστι</w:t>
      </w:r>
      <w:r>
        <w:rPr>
          <w:rFonts w:ascii="Arial Narrow" w:hAnsi="Arial Narrow"/>
        </w:rPr>
        <w:t xml:space="preserve">. Εντούτοις, ο κ. </w:t>
      </w:r>
      <w:r w:rsidRPr="00CC5554">
        <w:rPr>
          <w:rFonts w:ascii="Arial Narrow" w:hAnsi="Arial Narrow"/>
        </w:rPr>
        <w:t>Szijjárto</w:t>
      </w:r>
      <w:r>
        <w:rPr>
          <w:rFonts w:ascii="Arial Narrow" w:hAnsi="Arial Narrow"/>
        </w:rPr>
        <w:t xml:space="preserve">, δήλωσε ότι η </w:t>
      </w:r>
      <w:r w:rsidRPr="00490543">
        <w:rPr>
          <w:rFonts w:ascii="Arial Narrow" w:hAnsi="Arial Narrow"/>
        </w:rPr>
        <w:t xml:space="preserve">TSI δεν αποτελεί αποκλειστικό σχήμα συνεργασίας για τη χώρα του και ότι η Ουγγαρία ενδιαφέρεται να συνεργαστεί τόσο με χώρες του Νότου, όσο και με χώρες της Ανατολικής Ευρώπης. </w:t>
      </w:r>
    </w:p>
    <w:p w:rsidR="00490543" w:rsidRDefault="00490543" w:rsidP="0099736B">
      <w:pPr>
        <w:jc w:val="both"/>
        <w:rPr>
          <w:rFonts w:ascii="Arial Narrow" w:hAnsi="Arial Narrow"/>
        </w:rPr>
      </w:pPr>
    </w:p>
    <w:p w:rsidR="00A542CF" w:rsidRPr="00A542CF" w:rsidRDefault="00A542CF" w:rsidP="00A542CF">
      <w:pPr>
        <w:numPr>
          <w:ilvl w:val="0"/>
          <w:numId w:val="2"/>
        </w:numPr>
        <w:jc w:val="both"/>
        <w:rPr>
          <w:rFonts w:ascii="Arial Narrow" w:hAnsi="Arial Narrow"/>
          <w:u w:val="single"/>
        </w:rPr>
      </w:pPr>
      <w:r w:rsidRPr="00A542CF">
        <w:rPr>
          <w:rFonts w:ascii="Arial Narrow" w:hAnsi="Arial Narrow"/>
          <w:u w:val="single"/>
        </w:rPr>
        <w:t>Το Αγροτικό Επιμελητήριο Ουγγαρίας τάσσεται εναντίον της Συμφωνίας Εμπορίου ΕΕ-Mercosur</w:t>
      </w:r>
    </w:p>
    <w:p w:rsidR="00A542CF" w:rsidRPr="00A542CF" w:rsidRDefault="00A542CF" w:rsidP="00A542CF">
      <w:pPr>
        <w:jc w:val="both"/>
        <w:rPr>
          <w:rFonts w:ascii="Arial Narrow" w:hAnsi="Arial Narrow"/>
        </w:rPr>
      </w:pPr>
      <w:r w:rsidRPr="00A542CF">
        <w:rPr>
          <w:rFonts w:ascii="Arial Narrow" w:hAnsi="Arial Narrow"/>
        </w:rPr>
        <w:t xml:space="preserve">Ως «απαράδεκτη», χαρακτηρίζει σε πρόσφατη ανακοίνωσή του, το Αγροτικό Επιμελητήριο Ουγγαρίας (NAK), την Συμφωνία Ελευθέρου Εμπορίου ΕΕ-Mercosur. Στην ανακοίνωση, επισημαίνεται ότι η συμφωνία αυτή θα επιτρέψει την αθρόα εισαγωγή αγροτικών προϊόντων «αγνώστου προελεύσεως» στην ΕΕ και θα οδηγήσει σε καταστροφή τους Ευρωπαίους αγρότες. Το ΝΑΚ, σε συνεργασία με τον Σύνδεσμο «Copa-Cocega», που εκπροσωπεί τα συμφέροντα αγροτών της ΕΕ, έχει ξεκινήσει εκστρατεία κατά της Συμφωνίας. Επισημαίνει στην ανακοίνωσή του, ότι η ποσότητα πουλερικών που εισάγεται στην ΕΕ από τις χώρες Mercosur, ισούται  με τη συνολική ποσότητα παραγωγής της Δανίας, Φινλανδίας και Σουηδίας. Επίσης, στην ανακοίνωση αναφέρεται, ότι με τη Συμφωνία θα εισάγονται στην ΕΕ ζάχαρη και προϊόντα αιθανόλης, τα οποία δεν πληρούν τα κοινοτικά πρότυπα παραγωγής, με συνέπεια τον άνισο ανταγωνισμό για τις ευρωπαϊκές επιχειρήσεις οι οποίες θα αναγκαστούν να μεταφέρουν τις παραγωγικές τους δραστηριότητες σε χώρες εκτός ΕΕ. </w:t>
      </w:r>
      <w:r w:rsidR="005573F4">
        <w:rPr>
          <w:rFonts w:ascii="Arial Narrow" w:hAnsi="Arial Narrow"/>
        </w:rPr>
        <w:t>Τ</w:t>
      </w:r>
      <w:r w:rsidRPr="00A542CF">
        <w:rPr>
          <w:rFonts w:ascii="Arial Narrow" w:hAnsi="Arial Narrow"/>
        </w:rPr>
        <w:t xml:space="preserve">ην </w:t>
      </w:r>
      <w:r w:rsidR="005573F4" w:rsidRPr="00A542CF">
        <w:rPr>
          <w:rFonts w:ascii="Arial Narrow" w:hAnsi="Arial Narrow"/>
        </w:rPr>
        <w:t xml:space="preserve">αντίθεσή </w:t>
      </w:r>
      <w:r w:rsidR="005573F4">
        <w:rPr>
          <w:rFonts w:ascii="Arial Narrow" w:hAnsi="Arial Narrow"/>
        </w:rPr>
        <w:t>τους για την</w:t>
      </w:r>
      <w:r w:rsidR="005573F4" w:rsidRPr="00A542CF">
        <w:rPr>
          <w:rFonts w:ascii="Arial Narrow" w:hAnsi="Arial Narrow"/>
        </w:rPr>
        <w:t xml:space="preserve"> </w:t>
      </w:r>
      <w:r w:rsidRPr="00A542CF">
        <w:rPr>
          <w:rFonts w:ascii="Arial Narrow" w:hAnsi="Arial Narrow"/>
        </w:rPr>
        <w:t xml:space="preserve">Συμφωνία ΕΕ-Mercosur, </w:t>
      </w:r>
      <w:r w:rsidR="005573F4">
        <w:rPr>
          <w:rFonts w:ascii="Arial Narrow" w:hAnsi="Arial Narrow"/>
        </w:rPr>
        <w:t>έχουν επίσης δη</w:t>
      </w:r>
      <w:r w:rsidRPr="00A542CF">
        <w:rPr>
          <w:rFonts w:ascii="Arial Narrow" w:hAnsi="Arial Narrow"/>
        </w:rPr>
        <w:t>λώσει</w:t>
      </w:r>
      <w:r w:rsidR="005573F4">
        <w:rPr>
          <w:rFonts w:ascii="Arial Narrow" w:hAnsi="Arial Narrow"/>
        </w:rPr>
        <w:t>,</w:t>
      </w:r>
      <w:r w:rsidRPr="00A542CF">
        <w:rPr>
          <w:rFonts w:ascii="Arial Narrow" w:hAnsi="Arial Narrow"/>
        </w:rPr>
        <w:t xml:space="preserve"> το «Συμβούλιο Πουλερικών Ουγγαρίας»</w:t>
      </w:r>
      <w:r w:rsidR="005573F4">
        <w:rPr>
          <w:rFonts w:ascii="Arial Narrow" w:hAnsi="Arial Narrow"/>
        </w:rPr>
        <w:t>,</w:t>
      </w:r>
      <w:r w:rsidRPr="00A542CF">
        <w:rPr>
          <w:rFonts w:ascii="Arial Narrow" w:hAnsi="Arial Narrow"/>
        </w:rPr>
        <w:t xml:space="preserve"> ο «Σύνδεσμος Κτηνοτρόφων Ουγγαρίας», αλλά και ο πρώην Υπουργός Γεωργίας της Ουγγαρίας, κ. Sándor Fazekas. Εντούτοις, η επίσημη θέση της κυβέρνησης είναι θετική ως προς τη Συμφωνία. Ο Υπουργός Εξωτερικών &amp; Εμπορίου, κ. Péter Szijjártο, έχει επανειλημμένως εκφράσει την υποστήριξή του στη Συμφωνία, τονίζοντας ότι αποτελεί εργαλείο δημιουργίας επιχειρηματικών και επενδυτικών ευκαιριών, αλλά και συνθηκών υγιούς ανταγωνισμού. Ήδη, 449 ουγγρικές εταιρείες εξάγουν προϊόντα τους στις χώρες Mercosur, υποστηρίζοντας συνολικά περίπου 14.000 θέσεις εργασίας στην Ουγγαρία. Η Ουγγαρία, διατηρεί πλεονασματικό εμπορικό ισοζύγιο με τις χώρες Mercosur, που ως ομάδα χωρών, αποτελεί τον 16 σημαντικότερο εμπορικό εταίρο της, εκτός ΕΕ. Η Ουγγαρία, εισάγει από τις χώρες Mercosur προϊόντα αξίας €270 εκ. και εξάγει σε αυτές, προϊόντα συνολικής αξίας €380 εκ. </w:t>
      </w:r>
      <w:r w:rsidR="005573F4">
        <w:rPr>
          <w:rFonts w:ascii="Arial Narrow" w:hAnsi="Arial Narrow"/>
        </w:rPr>
        <w:t>Τ</w:t>
      </w:r>
      <w:r w:rsidRPr="00A542CF">
        <w:rPr>
          <w:rFonts w:ascii="Arial Narrow" w:hAnsi="Arial Narrow"/>
        </w:rPr>
        <w:t xml:space="preserve">ην </w:t>
      </w:r>
      <w:r w:rsidR="005573F4">
        <w:rPr>
          <w:rFonts w:ascii="Arial Narrow" w:hAnsi="Arial Narrow"/>
        </w:rPr>
        <w:t xml:space="preserve">πρόσφατη </w:t>
      </w:r>
      <w:r w:rsidRPr="00A542CF">
        <w:rPr>
          <w:rFonts w:ascii="Arial Narrow" w:hAnsi="Arial Narrow"/>
        </w:rPr>
        <w:t>αντίδραση του ΝΑΚ, πυροδότησε η επανέναρξη των συνομιλιών στην ΕΕ, για την επικύρωση της Συμφωνίας.</w:t>
      </w:r>
    </w:p>
    <w:p w:rsidR="00A542CF" w:rsidRPr="00A542CF" w:rsidRDefault="00A542CF" w:rsidP="0099736B">
      <w:pPr>
        <w:jc w:val="both"/>
        <w:rPr>
          <w:rFonts w:ascii="Arial Narrow" w:hAnsi="Arial Narrow"/>
        </w:rPr>
      </w:pPr>
    </w:p>
    <w:p w:rsidR="009E3B95" w:rsidRDefault="009E3B95" w:rsidP="008B01AD">
      <w:pPr>
        <w:pStyle w:val="a3"/>
        <w:tabs>
          <w:tab w:val="clear" w:pos="4320"/>
          <w:tab w:val="clear" w:pos="8640"/>
        </w:tabs>
        <w:jc w:val="center"/>
        <w:rPr>
          <w:rFonts w:ascii="Arial Narrow" w:eastAsia="MS Mincho" w:hAnsi="Arial Narrow"/>
          <w:b/>
          <w:bCs/>
          <w:color w:val="548DD4"/>
          <w:szCs w:val="20"/>
        </w:rPr>
      </w:pPr>
    </w:p>
    <w:p w:rsidR="009E3B95" w:rsidRDefault="009E3B95" w:rsidP="008B01AD">
      <w:pPr>
        <w:pStyle w:val="a3"/>
        <w:tabs>
          <w:tab w:val="clear" w:pos="4320"/>
          <w:tab w:val="clear" w:pos="8640"/>
        </w:tabs>
        <w:jc w:val="center"/>
        <w:rPr>
          <w:rFonts w:ascii="Arial Narrow" w:eastAsia="MS Mincho" w:hAnsi="Arial Narrow"/>
          <w:b/>
          <w:bCs/>
          <w:color w:val="548DD4"/>
          <w:szCs w:val="20"/>
        </w:rPr>
      </w:pP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ΙΙΙ</w:t>
      </w:r>
    </w:p>
    <w:p w:rsidR="008B01AD" w:rsidRPr="0061655F" w:rsidRDefault="008B01AD" w:rsidP="008B01AD">
      <w:pPr>
        <w:pStyle w:val="a3"/>
        <w:tabs>
          <w:tab w:val="clear" w:pos="4320"/>
          <w:tab w:val="clear" w:pos="8640"/>
        </w:tabs>
        <w:jc w:val="center"/>
        <w:rPr>
          <w:rFonts w:ascii="Arial Narrow" w:eastAsia="MS Mincho" w:hAnsi="Arial Narrow"/>
          <w:b/>
          <w:bCs/>
          <w:color w:val="548DD4"/>
          <w:szCs w:val="20"/>
        </w:rPr>
      </w:pPr>
      <w:r w:rsidRPr="0061655F">
        <w:rPr>
          <w:rFonts w:ascii="Arial Narrow" w:eastAsia="MS Mincho" w:hAnsi="Arial Narrow"/>
          <w:b/>
          <w:bCs/>
          <w:color w:val="548DD4"/>
          <w:szCs w:val="20"/>
        </w:rPr>
        <w:t xml:space="preserve"> Διεθνείς Εκθέσεις</w:t>
      </w:r>
    </w:p>
    <w:p w:rsidR="008B01AD" w:rsidRPr="0061655F"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r w:rsidRPr="00022D8D">
        <w:rPr>
          <w:rFonts w:ascii="Arial Narrow" w:eastAsia="Calibri" w:hAnsi="Arial Narrow"/>
          <w:noProof/>
          <w:lang w:eastAsia="zh-TW"/>
        </w:rPr>
        <w:pict>
          <v:shape id="_x0000_s1027" type="#_x0000_t202" style="position:absolute;left:0;text-align:left;margin-left:33.85pt;margin-top:1.35pt;width:415.65pt;height:81.25pt;z-index:251657728;mso-width-relative:margin;mso-height-relative:margin">
            <v:textbox>
              <w:txbxContent>
                <w:p w:rsidR="00104D75" w:rsidRPr="0051073D" w:rsidRDefault="00104D75" w:rsidP="008B01AD">
                  <w:pPr>
                    <w:jc w:val="both"/>
                    <w:rPr>
                      <w:rFonts w:ascii="Arial Narrow" w:hAnsi="Arial Narrow"/>
                      <w:i/>
                    </w:rPr>
                  </w:pPr>
                  <w:r w:rsidRPr="00022D8D">
                    <w:rPr>
                      <w:rFonts w:ascii="Arial Narrow" w:hAnsi="Arial Narrow"/>
                      <w:i/>
                    </w:rPr>
                    <w:t xml:space="preserve">Εξαιτίας της λήψης περιοριστικών μέτρων για την αντιμετώπιση της πανδημίας του </w:t>
                  </w:r>
                  <w:r w:rsidRPr="00022D8D">
                    <w:rPr>
                      <w:rFonts w:ascii="Arial Narrow" w:hAnsi="Arial Narrow"/>
                      <w:b/>
                      <w:i/>
                      <w:lang w:val="hu-HU"/>
                    </w:rPr>
                    <w:t>COVID</w:t>
                  </w:r>
                  <w:r w:rsidRPr="00022D8D">
                    <w:rPr>
                      <w:rFonts w:ascii="Arial Narrow" w:hAnsi="Arial Narrow"/>
                      <w:b/>
                      <w:i/>
                    </w:rPr>
                    <w:t>-19</w:t>
                  </w:r>
                  <w:r w:rsidRPr="00022D8D">
                    <w:rPr>
                      <w:rFonts w:ascii="Arial Narrow" w:hAnsi="Arial Narrow"/>
                      <w:i/>
                    </w:rPr>
                    <w:t xml:space="preserve">, </w:t>
                  </w:r>
                  <w:r>
                    <w:rPr>
                      <w:rFonts w:ascii="Arial Narrow" w:hAnsi="Arial Narrow"/>
                      <w:i/>
                    </w:rPr>
                    <w:t xml:space="preserve">πολλές εκθέσεις </w:t>
                  </w:r>
                  <w:r w:rsidRPr="00022D8D">
                    <w:rPr>
                      <w:rFonts w:ascii="Arial Narrow" w:hAnsi="Arial Narrow"/>
                      <w:i/>
                    </w:rPr>
                    <w:t>ματαιώθηκαν</w:t>
                  </w:r>
                  <w:r>
                    <w:rPr>
                      <w:rFonts w:ascii="Arial Narrow" w:hAnsi="Arial Narrow"/>
                      <w:i/>
                    </w:rPr>
                    <w:t>, ενώ άλλες αναβλήθηκαν.</w:t>
                  </w:r>
                  <w:r w:rsidRPr="00022D8D">
                    <w:rPr>
                      <w:rFonts w:ascii="Arial Narrow" w:hAnsi="Arial Narrow"/>
                      <w:i/>
                    </w:rPr>
                    <w:t xml:space="preserve"> </w:t>
                  </w:r>
                  <w:r w:rsidRPr="004E4F3F">
                    <w:rPr>
                      <w:rFonts w:ascii="Arial Narrow" w:hAnsi="Arial Narrow"/>
                      <w:i/>
                    </w:rPr>
                    <w:t xml:space="preserve">Ο επίσημος εκθεσιακός φορέας της Ουγγαρίας </w:t>
                  </w:r>
                  <w:r w:rsidRPr="004E4F3F">
                    <w:rPr>
                      <w:rFonts w:ascii="Arial Narrow" w:hAnsi="Arial Narrow"/>
                      <w:i/>
                      <w:color w:val="000000"/>
                    </w:rPr>
                    <w:t>«</w:t>
                  </w:r>
                  <w:r w:rsidRPr="004E4F3F">
                    <w:rPr>
                      <w:rFonts w:ascii="Arial Narrow" w:hAnsi="Arial Narrow"/>
                      <w:i/>
                      <w:color w:val="000000"/>
                      <w:lang w:val="en-US"/>
                    </w:rPr>
                    <w:t>HUNGEXPO</w:t>
                  </w:r>
                  <w:r w:rsidRPr="004E4F3F">
                    <w:rPr>
                      <w:rFonts w:ascii="Arial Narrow" w:hAnsi="Arial Narrow"/>
                      <w:i/>
                      <w:color w:val="000000"/>
                    </w:rPr>
                    <w:t xml:space="preserve"> </w:t>
                  </w:r>
                  <w:r w:rsidRPr="004E4F3F">
                    <w:rPr>
                      <w:rFonts w:ascii="Arial Narrow" w:hAnsi="Arial Narrow"/>
                      <w:i/>
                      <w:color w:val="000000"/>
                      <w:lang w:val="en-US"/>
                    </w:rPr>
                    <w:t>Zrt</w:t>
                  </w:r>
                  <w:r w:rsidRPr="004E4F3F">
                    <w:rPr>
                      <w:rFonts w:ascii="Arial Narrow" w:hAnsi="Arial Narrow"/>
                      <w:i/>
                      <w:color w:val="000000"/>
                    </w:rPr>
                    <w:t>» (</w:t>
                  </w:r>
                  <w:hyperlink r:id="rId8" w:history="1">
                    <w:r w:rsidRPr="004E4F3F">
                      <w:rPr>
                        <w:rStyle w:val="-"/>
                        <w:rFonts w:ascii="Arial Narrow" w:hAnsi="Arial Narrow"/>
                        <w:i/>
                        <w:lang w:val="en-US"/>
                      </w:rPr>
                      <w:t>www</w:t>
                    </w:r>
                    <w:r w:rsidRPr="004E4F3F">
                      <w:rPr>
                        <w:rStyle w:val="-"/>
                        <w:rFonts w:ascii="Arial Narrow" w:hAnsi="Arial Narrow"/>
                        <w:i/>
                      </w:rPr>
                      <w:t>.</w:t>
                    </w:r>
                    <w:r w:rsidRPr="004E4F3F">
                      <w:rPr>
                        <w:rStyle w:val="-"/>
                        <w:rFonts w:ascii="Arial Narrow" w:hAnsi="Arial Narrow"/>
                        <w:i/>
                        <w:lang w:val="en-US"/>
                      </w:rPr>
                      <w:t>hungexpo</w:t>
                    </w:r>
                    <w:r w:rsidRPr="004E4F3F">
                      <w:rPr>
                        <w:rStyle w:val="-"/>
                        <w:rFonts w:ascii="Arial Narrow" w:hAnsi="Arial Narrow"/>
                        <w:i/>
                      </w:rPr>
                      <w:t>.</w:t>
                    </w:r>
                    <w:r w:rsidRPr="004E4F3F">
                      <w:rPr>
                        <w:rStyle w:val="-"/>
                        <w:rFonts w:ascii="Arial Narrow" w:hAnsi="Arial Narrow"/>
                        <w:i/>
                        <w:lang w:val="en-US"/>
                      </w:rPr>
                      <w:t>hu</w:t>
                    </w:r>
                  </w:hyperlink>
                  <w:r w:rsidRPr="004E4F3F">
                    <w:rPr>
                      <w:rFonts w:ascii="Arial Narrow" w:hAnsi="Arial Narrow"/>
                      <w:i/>
                      <w:color w:val="000000"/>
                    </w:rPr>
                    <w:t>), ανακοινώνει διαδικτυακά τις σχετικές αλλαγές.</w:t>
                  </w:r>
                  <w:r>
                    <w:rPr>
                      <w:rFonts w:ascii="Arial Narrow" w:hAnsi="Arial Narrow"/>
                      <w:color w:val="000000"/>
                    </w:rPr>
                    <w:t xml:space="preserve"> Για το 2021 προγραμματίζονται οι παρακάτω διεθνείς εκθέσεις: </w:t>
                  </w:r>
                </w:p>
              </w:txbxContent>
            </v:textbox>
          </v:shape>
        </w:pict>
      </w: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Default="008B01AD" w:rsidP="008B01AD">
      <w:pPr>
        <w:jc w:val="both"/>
        <w:rPr>
          <w:rFonts w:ascii="Arial Narrow" w:eastAsia="Calibri" w:hAnsi="Arial Narrow"/>
        </w:rPr>
      </w:pPr>
    </w:p>
    <w:p w:rsidR="008B01AD" w:rsidRPr="00C31E2E" w:rsidRDefault="008B01AD" w:rsidP="008B01AD">
      <w:pPr>
        <w:jc w:val="both"/>
        <w:rPr>
          <w:rFonts w:ascii="Arial Narrow" w:hAnsi="Arial Narrow"/>
          <w:color w:val="000000"/>
        </w:rPr>
      </w:pPr>
    </w:p>
    <w:p w:rsidR="008B01AD" w:rsidRPr="00670475" w:rsidRDefault="008B01AD" w:rsidP="008B01AD">
      <w:pPr>
        <w:numPr>
          <w:ilvl w:val="0"/>
          <w:numId w:val="6"/>
        </w:numPr>
        <w:ind w:left="540" w:hanging="540"/>
        <w:jc w:val="both"/>
        <w:rPr>
          <w:rFonts w:ascii="Arial Narrow" w:hAnsi="Arial Narrow"/>
          <w:color w:val="000000"/>
        </w:rPr>
      </w:pPr>
      <w:r w:rsidRPr="008B01AD">
        <w:rPr>
          <w:rFonts w:ascii="Arial Narrow" w:hAnsi="Arial Narrow"/>
          <w:b/>
          <w:color w:val="000000"/>
          <w:lang w:val="en-US"/>
        </w:rPr>
        <w:t>CONSTRUMA</w:t>
      </w:r>
      <w:r w:rsidRPr="004E4F3F">
        <w:rPr>
          <w:color w:val="000000"/>
          <w:lang w:val="en-US"/>
        </w:rPr>
        <w:t xml:space="preserve"> -</w:t>
      </w:r>
      <w:r w:rsidRPr="004E4F3F">
        <w:rPr>
          <w:lang w:val="en-US"/>
        </w:rPr>
        <w:t xml:space="preserve"> </w:t>
      </w:r>
      <w:r w:rsidRPr="004E4F3F">
        <w:rPr>
          <w:rStyle w:val="-"/>
          <w:lang w:val="en-US"/>
        </w:rPr>
        <w:t>https://construma.hu/en</w:t>
      </w:r>
      <w:r w:rsidRPr="004E4F3F">
        <w:rPr>
          <w:color w:val="000000"/>
          <w:lang w:val="en-US"/>
        </w:rPr>
        <w:t xml:space="preserve"> </w:t>
      </w:r>
      <w:r w:rsidRPr="004E4F3F">
        <w:rPr>
          <w:rFonts w:ascii="Arial Narrow" w:hAnsi="Arial Narrow"/>
          <w:color w:val="000000"/>
          <w:u w:val="single"/>
          <w:lang w:val="en-US"/>
        </w:rPr>
        <w:t xml:space="preserve">(14-18 </w:t>
      </w:r>
      <w:r w:rsidRPr="004E4F3F">
        <w:rPr>
          <w:rFonts w:ascii="Arial Narrow" w:hAnsi="Arial Narrow"/>
          <w:color w:val="000000"/>
          <w:u w:val="single"/>
        </w:rPr>
        <w:t>Απριλίου</w:t>
      </w:r>
      <w:r w:rsidRPr="004E4F3F">
        <w:rPr>
          <w:rFonts w:ascii="Arial Narrow" w:hAnsi="Arial Narrow"/>
          <w:color w:val="000000"/>
          <w:u w:val="single"/>
          <w:lang w:val="en-US"/>
        </w:rPr>
        <w:t xml:space="preserve"> 2021).</w:t>
      </w:r>
      <w:r w:rsidRPr="004E4F3F">
        <w:rPr>
          <w:rFonts w:ascii="Arial Narrow" w:hAnsi="Arial Narrow"/>
          <w:color w:val="000000"/>
          <w:lang w:val="en-US"/>
        </w:rPr>
        <w:t xml:space="preserve"> </w:t>
      </w:r>
      <w:r w:rsidRPr="00670475">
        <w:rPr>
          <w:rFonts w:ascii="Arial Narrow" w:hAnsi="Arial Narrow"/>
          <w:bCs/>
        </w:rPr>
        <w:t>Διεθνής Έκθεση Κατασκευών και Δομικών Υλικών.</w:t>
      </w:r>
      <w:r w:rsidRPr="00670475">
        <w:rPr>
          <w:rFonts w:ascii="Arial Narrow" w:hAnsi="Arial Narrow"/>
          <w:color w:val="000000"/>
        </w:rPr>
        <w:t xml:space="preserve"> Μεταξύ των σημαντικότερων στην Κεντρική και Ανατολική Ευρώπη. Η Έκθεση καταλαμβάνει έκταση 65.000 τ.μ. και πλαισιώνεται από πολλά συνέδρια και από τις, συναφούς περιεχομένου, εκθέσεις: </w:t>
      </w:r>
      <w:r w:rsidRPr="00670475">
        <w:rPr>
          <w:rFonts w:ascii="Arial Narrow" w:hAnsi="Arial Narrow"/>
          <w:b/>
          <w:color w:val="000000"/>
          <w:u w:val="single"/>
          <w:lang w:val="en-US"/>
        </w:rPr>
        <w:t>HOMEdesign</w:t>
      </w:r>
      <w:r w:rsidRPr="00670475">
        <w:rPr>
          <w:rFonts w:ascii="Arial Narrow" w:hAnsi="Arial Narrow"/>
          <w:color w:val="000000"/>
        </w:rPr>
        <w:t xml:space="preserve"> - </w:t>
      </w:r>
      <w:hyperlink r:id="rId9" w:history="1">
        <w:r w:rsidRPr="00670475">
          <w:rPr>
            <w:rStyle w:val="-"/>
            <w:rFonts w:ascii="Arial Narrow" w:hAnsi="Arial Narrow"/>
          </w:rPr>
          <w:t>https://otthon-design.hu/en</w:t>
        </w:r>
      </w:hyperlink>
      <w:r w:rsidRPr="00670475">
        <w:rPr>
          <w:rFonts w:ascii="Arial Narrow" w:hAnsi="Arial Narrow"/>
          <w:color w:val="000000"/>
        </w:rPr>
        <w:t xml:space="preserve"> (εσωτερικής διακόσμησης) και </w:t>
      </w:r>
      <w:r w:rsidRPr="00670475">
        <w:rPr>
          <w:rFonts w:ascii="Arial Narrow" w:hAnsi="Arial Narrow"/>
          <w:b/>
          <w:color w:val="000000"/>
          <w:u w:val="single"/>
          <w:lang w:val="en-US"/>
        </w:rPr>
        <w:t>HungaroTHERM</w:t>
      </w:r>
      <w:r w:rsidRPr="00670475">
        <w:rPr>
          <w:rFonts w:ascii="Arial Narrow" w:hAnsi="Arial Narrow"/>
          <w:color w:val="000000"/>
        </w:rPr>
        <w:t xml:space="preserve"> - </w:t>
      </w:r>
      <w:hyperlink r:id="rId10" w:history="1">
        <w:r w:rsidRPr="00670475">
          <w:rPr>
            <w:rStyle w:val="-"/>
            <w:rFonts w:ascii="Arial Narrow" w:hAnsi="Arial Narrow"/>
          </w:rPr>
          <w:t>https://hungarotherm.hu/en</w:t>
        </w:r>
      </w:hyperlink>
      <w:r w:rsidRPr="00670475">
        <w:rPr>
          <w:rFonts w:ascii="Arial Narrow" w:hAnsi="Arial Narrow"/>
          <w:color w:val="000000"/>
        </w:rPr>
        <w:t xml:space="preserve"> (θέρμανσης - κλιματισμού).</w:t>
      </w:r>
    </w:p>
    <w:p w:rsidR="008B01AD" w:rsidRPr="00670475" w:rsidRDefault="008B01AD" w:rsidP="0098297B">
      <w:pPr>
        <w:ind w:left="540"/>
        <w:rPr>
          <w:rFonts w:ascii="Arial Narrow" w:hAnsi="Arial Narrow"/>
          <w:color w:val="000000"/>
        </w:rPr>
      </w:pPr>
      <w:r w:rsidRPr="00670475">
        <w:rPr>
          <w:rStyle w:val="4Char"/>
          <w:rFonts w:ascii="Arial Narrow" w:hAnsi="Arial Narrow"/>
          <w:color w:val="017A06"/>
          <w:shd w:val="clear" w:color="auto" w:fill="FFFFFF"/>
        </w:rPr>
        <w:t xml:space="preserve">Διοργανωτές: </w:t>
      </w:r>
      <w:r w:rsidRPr="00670475">
        <w:rPr>
          <w:rStyle w:val="a8"/>
          <w:rFonts w:ascii="Arial Narrow" w:hAnsi="Arial Narrow"/>
          <w:b w:val="0"/>
          <w:color w:val="231F20"/>
          <w:shd w:val="clear" w:color="auto" w:fill="FFFFFF"/>
          <w:lang w:val="en-US"/>
        </w:rPr>
        <w:t>Hungexpo</w:t>
      </w:r>
      <w:r w:rsidRPr="00670475">
        <w:rPr>
          <w:rStyle w:val="a8"/>
          <w:rFonts w:ascii="Arial Narrow" w:hAnsi="Arial Narrow"/>
          <w:b w:val="0"/>
          <w:color w:val="231F20"/>
          <w:shd w:val="clear" w:color="auto" w:fill="FFFFFF"/>
        </w:rPr>
        <w:t xml:space="preserve"> </w:t>
      </w:r>
      <w:r w:rsidRPr="00670475">
        <w:rPr>
          <w:rStyle w:val="a8"/>
          <w:rFonts w:ascii="Arial Narrow" w:hAnsi="Arial Narrow"/>
          <w:b w:val="0"/>
          <w:color w:val="231F20"/>
          <w:shd w:val="clear" w:color="auto" w:fill="FFFFFF"/>
          <w:lang w:val="en-US"/>
        </w:rPr>
        <w:t>C</w:t>
      </w:r>
      <w:r w:rsidRPr="00670475">
        <w:rPr>
          <w:rStyle w:val="a8"/>
          <w:rFonts w:ascii="Arial Narrow" w:hAnsi="Arial Narrow"/>
          <w:b w:val="0"/>
          <w:color w:val="231F20"/>
          <w:shd w:val="clear" w:color="auto" w:fill="FFFFFF"/>
        </w:rPr>
        <w:t>.</w:t>
      </w:r>
      <w:r w:rsidRPr="00670475">
        <w:rPr>
          <w:rStyle w:val="a8"/>
          <w:rFonts w:ascii="Arial Narrow" w:hAnsi="Arial Narrow"/>
          <w:b w:val="0"/>
          <w:color w:val="231F20"/>
          <w:shd w:val="clear" w:color="auto" w:fill="FFFFFF"/>
          <w:lang w:val="en-US"/>
        </w:rPr>
        <w:t>Co</w:t>
      </w:r>
      <w:r w:rsidRPr="00670475">
        <w:rPr>
          <w:rStyle w:val="a8"/>
          <w:rFonts w:ascii="Arial Narrow" w:hAnsi="Arial Narrow"/>
          <w:b w:val="0"/>
          <w:color w:val="231F20"/>
          <w:shd w:val="clear" w:color="auto" w:fill="FFFFFF"/>
        </w:rPr>
        <w:t xml:space="preserve">. </w:t>
      </w:r>
      <w:r w:rsidRPr="00670475">
        <w:rPr>
          <w:rStyle w:val="a8"/>
          <w:rFonts w:ascii="Arial Narrow" w:hAnsi="Arial Narrow"/>
          <w:b w:val="0"/>
          <w:color w:val="231F20"/>
          <w:shd w:val="clear" w:color="auto" w:fill="FFFFFF"/>
          <w:lang w:val="en-US"/>
        </w:rPr>
        <w:t>Ltd</w:t>
      </w:r>
      <w:r w:rsidRPr="00670475">
        <w:rPr>
          <w:rStyle w:val="a8"/>
          <w:rFonts w:ascii="Arial Narrow" w:hAnsi="Arial Narrow"/>
          <w:b w:val="0"/>
          <w:color w:val="231F20"/>
          <w:shd w:val="clear" w:color="auto" w:fill="FFFFFF"/>
        </w:rPr>
        <w:t>.</w:t>
      </w:r>
      <w:r w:rsidRPr="00670475">
        <w:rPr>
          <w:rFonts w:ascii="Arial Narrow" w:hAnsi="Arial Narrow"/>
          <w:color w:val="231F20"/>
        </w:rPr>
        <w:br/>
      </w:r>
      <w:r w:rsidRPr="00670475">
        <w:rPr>
          <w:rStyle w:val="a8"/>
          <w:rFonts w:ascii="Arial Narrow" w:hAnsi="Arial Narrow"/>
          <w:color w:val="231F20"/>
          <w:shd w:val="clear" w:color="auto" w:fill="FFFFFF"/>
        </w:rPr>
        <w:t>Διεύθυνση</w:t>
      </w:r>
      <w:r w:rsidRPr="00670475">
        <w:rPr>
          <w:rStyle w:val="a8"/>
          <w:rFonts w:ascii="Arial Narrow" w:hAnsi="Arial Narrow"/>
          <w:color w:val="231F20"/>
          <w:shd w:val="clear" w:color="auto" w:fill="FFFFFF"/>
          <w:lang w:val="en-US"/>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lang w:val="en-US"/>
        </w:rPr>
        <w:t>H-1101 Budapest Albertirsai út 10.</w:t>
      </w:r>
      <w:r w:rsidRPr="00670475">
        <w:rPr>
          <w:rFonts w:ascii="Arial Narrow" w:hAnsi="Arial Narrow"/>
          <w:color w:val="231F20"/>
          <w:lang w:val="en-US"/>
        </w:rPr>
        <w:br/>
      </w:r>
      <w:r w:rsidRPr="00670475">
        <w:rPr>
          <w:rStyle w:val="a8"/>
          <w:rFonts w:ascii="Arial Narrow" w:hAnsi="Arial Narrow"/>
          <w:color w:val="231F20"/>
          <w:shd w:val="clear" w:color="auto" w:fill="FFFFFF"/>
          <w:lang w:val="en-US"/>
        </w:rPr>
        <w:t>T</w:t>
      </w:r>
      <w:r w:rsidRPr="00670475">
        <w:rPr>
          <w:rStyle w:val="a8"/>
          <w:rFonts w:ascii="Arial Narrow" w:hAnsi="Arial Narrow"/>
          <w:color w:val="231F20"/>
          <w:shd w:val="clear" w:color="auto" w:fill="FFFFFF"/>
        </w:rPr>
        <w:t>ηλ.:</w:t>
      </w:r>
      <w:r w:rsidRPr="00670475">
        <w:rPr>
          <w:rStyle w:val="apple-converted-space"/>
          <w:rFonts w:ascii="Arial Narrow" w:hAnsi="Arial Narrow"/>
          <w:b/>
          <w:bCs/>
          <w:color w:val="231F20"/>
          <w:shd w:val="clear" w:color="auto" w:fill="FFFFFF"/>
          <w:lang w:val="en-US"/>
        </w:rPr>
        <w:t> </w:t>
      </w:r>
      <w:r w:rsidRPr="00670475">
        <w:rPr>
          <w:rFonts w:ascii="Arial Narrow" w:hAnsi="Arial Narrow"/>
          <w:color w:val="231F20"/>
          <w:shd w:val="clear" w:color="auto" w:fill="FFFFFF"/>
        </w:rPr>
        <w:t xml:space="preserve">(+36 1) 263 6000, </w:t>
      </w:r>
      <w:r w:rsidRPr="00670475">
        <w:rPr>
          <w:rStyle w:val="a8"/>
          <w:rFonts w:ascii="Arial Narrow" w:hAnsi="Arial Narrow"/>
          <w:color w:val="231F20"/>
          <w:shd w:val="clear" w:color="auto" w:fill="FFFFFF"/>
          <w:lang w:val="en-US"/>
        </w:rPr>
        <w:t>Fax</w:t>
      </w:r>
      <w:r w:rsidRPr="00670475">
        <w:rPr>
          <w:rStyle w:val="a8"/>
          <w:rFonts w:ascii="Arial Narrow" w:hAnsi="Arial Narrow"/>
          <w:color w:val="231F20"/>
          <w:shd w:val="clear" w:color="auto" w:fill="FFFFFF"/>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rPr>
        <w:t>(+36 1) 263 6098</w:t>
      </w:r>
      <w:r w:rsidRPr="00670475">
        <w:rPr>
          <w:rFonts w:ascii="Arial Narrow" w:hAnsi="Arial Narrow"/>
          <w:color w:val="231F20"/>
        </w:rPr>
        <w:br/>
      </w:r>
      <w:r w:rsidRPr="00670475">
        <w:rPr>
          <w:rStyle w:val="a8"/>
          <w:rFonts w:ascii="Arial Narrow" w:hAnsi="Arial Narrow"/>
          <w:color w:val="231F20"/>
          <w:shd w:val="clear" w:color="auto" w:fill="FFFFFF"/>
          <w:lang w:val="en-US"/>
        </w:rPr>
        <w:t>E</w:t>
      </w:r>
      <w:r w:rsidRPr="00670475">
        <w:rPr>
          <w:rStyle w:val="a8"/>
          <w:rFonts w:ascii="Arial Narrow" w:hAnsi="Arial Narrow"/>
          <w:color w:val="231F20"/>
          <w:shd w:val="clear" w:color="auto" w:fill="FFFFFF"/>
        </w:rPr>
        <w:t>-</w:t>
      </w:r>
      <w:r w:rsidRPr="00670475">
        <w:rPr>
          <w:rStyle w:val="a8"/>
          <w:rFonts w:ascii="Arial Narrow" w:hAnsi="Arial Narrow"/>
          <w:color w:val="231F20"/>
          <w:shd w:val="clear" w:color="auto" w:fill="FFFFFF"/>
          <w:lang w:val="en-US"/>
        </w:rPr>
        <w:t>mail</w:t>
      </w:r>
      <w:r w:rsidRPr="00670475">
        <w:rPr>
          <w:rStyle w:val="a8"/>
          <w:rFonts w:ascii="Arial Narrow" w:hAnsi="Arial Narrow"/>
          <w:color w:val="231F20"/>
          <w:shd w:val="clear" w:color="auto" w:fill="FFFFFF"/>
        </w:rPr>
        <w:t>:</w:t>
      </w:r>
      <w:r w:rsidRPr="00670475">
        <w:rPr>
          <w:rStyle w:val="apple-converted-space"/>
          <w:rFonts w:ascii="Arial Narrow" w:hAnsi="Arial Narrow"/>
          <w:b/>
          <w:bCs/>
          <w:color w:val="231F20"/>
          <w:shd w:val="clear" w:color="auto" w:fill="FFFFFF"/>
          <w:lang w:val="en-US"/>
        </w:rPr>
        <w:t> </w:t>
      </w:r>
      <w:hyperlink r:id="rId11" w:history="1">
        <w:r w:rsidRPr="00670475">
          <w:rPr>
            <w:rStyle w:val="-"/>
            <w:rFonts w:ascii="Arial Narrow" w:hAnsi="Arial Narrow"/>
            <w:color w:val="D55705"/>
            <w:shd w:val="clear" w:color="auto" w:fill="FFFFFF"/>
            <w:lang w:val="en-US"/>
          </w:rPr>
          <w:t>hungexpo</w:t>
        </w:r>
        <w:r w:rsidRPr="00670475">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hungexpo</w:t>
        </w:r>
        <w:r w:rsidRPr="00670475">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w:t>
        </w:r>
      </w:hyperlink>
      <w:r w:rsidRPr="00670475">
        <w:rPr>
          <w:rFonts w:ascii="Arial Narrow" w:hAnsi="Arial Narrow"/>
        </w:rPr>
        <w:t xml:space="preserve">   και  </w:t>
      </w:r>
      <w:r w:rsidRPr="00670475">
        <w:rPr>
          <w:rFonts w:ascii="Arial Narrow" w:hAnsi="Arial Narrow"/>
          <w:color w:val="231F20"/>
          <w:shd w:val="clear" w:color="auto" w:fill="FFFFFF"/>
          <w:lang w:val="en-US"/>
        </w:rPr>
        <w:t>E</w:t>
      </w:r>
      <w:r w:rsidRPr="00670475">
        <w:rPr>
          <w:rFonts w:ascii="Arial Narrow" w:hAnsi="Arial Narrow"/>
          <w:color w:val="231F20"/>
          <w:shd w:val="clear" w:color="auto" w:fill="FFFFFF"/>
        </w:rPr>
        <w:t>-</w:t>
      </w:r>
      <w:r w:rsidRPr="00670475">
        <w:rPr>
          <w:rFonts w:ascii="Arial Narrow" w:hAnsi="Arial Narrow"/>
          <w:color w:val="231F20"/>
          <w:shd w:val="clear" w:color="auto" w:fill="FFFFFF"/>
          <w:lang w:val="en-US"/>
        </w:rPr>
        <w:t>mail</w:t>
      </w:r>
      <w:r w:rsidRPr="00670475">
        <w:rPr>
          <w:rStyle w:val="a8"/>
          <w:rFonts w:ascii="Arial Narrow" w:hAnsi="Arial Narrow" w:cs="Arial"/>
          <w:color w:val="212529"/>
          <w:shd w:val="clear" w:color="auto" w:fill="FFFFFF"/>
        </w:rPr>
        <w:t>:</w:t>
      </w:r>
      <w:r w:rsidRPr="00670475">
        <w:rPr>
          <w:rFonts w:ascii="Arial Narrow" w:hAnsi="Arial Narrow" w:cs="Arial"/>
          <w:color w:val="212529"/>
          <w:shd w:val="clear" w:color="auto" w:fill="FFFFFF"/>
          <w:lang w:val="en-US"/>
        </w:rPr>
        <w:t> </w:t>
      </w:r>
      <w:hyperlink r:id="rId12" w:tgtFrame="_blank" w:history="1">
        <w:r w:rsidRPr="00670475">
          <w:rPr>
            <w:rStyle w:val="-"/>
            <w:rFonts w:ascii="Arial Narrow" w:hAnsi="Arial Narrow" w:cs="Arial"/>
            <w:b/>
            <w:bCs/>
            <w:color w:val="F28E2E"/>
            <w:shd w:val="clear" w:color="auto" w:fill="FFFFFF"/>
            <w:lang w:val="en-US"/>
          </w:rPr>
          <w:t>construma</w:t>
        </w:r>
        <w:r w:rsidRPr="00670475">
          <w:rPr>
            <w:rStyle w:val="-"/>
            <w:rFonts w:ascii="Arial Narrow" w:hAnsi="Arial Narrow" w:cs="Arial"/>
            <w:b/>
            <w:bCs/>
            <w:color w:val="F28E2E"/>
            <w:shd w:val="clear" w:color="auto" w:fill="FFFFFF"/>
          </w:rPr>
          <w:t>@</w:t>
        </w:r>
        <w:r w:rsidRPr="00670475">
          <w:rPr>
            <w:rStyle w:val="-"/>
            <w:rFonts w:ascii="Arial Narrow" w:hAnsi="Arial Narrow" w:cs="Arial"/>
            <w:b/>
            <w:bCs/>
            <w:color w:val="F28E2E"/>
            <w:shd w:val="clear" w:color="auto" w:fill="FFFFFF"/>
            <w:lang w:val="en-US"/>
          </w:rPr>
          <w:t>hungexpo</w:t>
        </w:r>
        <w:r w:rsidRPr="00670475">
          <w:rPr>
            <w:rStyle w:val="-"/>
            <w:rFonts w:ascii="Arial Narrow" w:hAnsi="Arial Narrow" w:cs="Arial"/>
            <w:b/>
            <w:bCs/>
            <w:color w:val="F28E2E"/>
            <w:shd w:val="clear" w:color="auto" w:fill="FFFFFF"/>
          </w:rPr>
          <w:t>.</w:t>
        </w:r>
        <w:r w:rsidRPr="00670475">
          <w:rPr>
            <w:rStyle w:val="-"/>
            <w:rFonts w:ascii="Arial Narrow" w:hAnsi="Arial Narrow" w:cs="Arial"/>
            <w:b/>
            <w:bCs/>
            <w:color w:val="F28E2E"/>
            <w:shd w:val="clear" w:color="auto" w:fill="FFFFFF"/>
            <w:lang w:val="en-US"/>
          </w:rPr>
          <w:t>hu</w:t>
        </w:r>
      </w:hyperlink>
    </w:p>
    <w:p w:rsidR="008B01AD" w:rsidRDefault="008B01AD" w:rsidP="008B01AD">
      <w:pPr>
        <w:jc w:val="both"/>
        <w:rPr>
          <w:rFonts w:ascii="Courier New" w:hAnsi="Courier New" w:cs="Courier New"/>
          <w:color w:val="333333"/>
          <w:sz w:val="15"/>
          <w:szCs w:val="15"/>
          <w:shd w:val="clear" w:color="auto" w:fill="FCFDFE"/>
        </w:rPr>
      </w:pPr>
    </w:p>
    <w:p w:rsidR="00361F53" w:rsidRDefault="00361F53" w:rsidP="004C7938">
      <w:pPr>
        <w:rPr>
          <w:rFonts w:ascii="Arial Narrow" w:hAnsi="Arial Narrow"/>
        </w:rPr>
      </w:pPr>
    </w:p>
    <w:p w:rsidR="00C640AC" w:rsidRDefault="00C640AC" w:rsidP="00C640AC">
      <w:pPr>
        <w:numPr>
          <w:ilvl w:val="0"/>
          <w:numId w:val="4"/>
        </w:numPr>
        <w:ind w:left="540" w:hanging="540"/>
        <w:jc w:val="both"/>
        <w:rPr>
          <w:rFonts w:ascii="Arial Narrow" w:hAnsi="Arial Narrow"/>
          <w:color w:val="000000"/>
        </w:rPr>
      </w:pPr>
      <w:r w:rsidRPr="00C31E2E">
        <w:rPr>
          <w:rFonts w:ascii="Arial Narrow" w:hAnsi="Arial Narrow"/>
          <w:b/>
          <w:color w:val="000000"/>
          <w:lang w:val="en-US"/>
        </w:rPr>
        <w:t>AGROmashEXPO</w:t>
      </w:r>
      <w:r w:rsidRPr="00C640AC">
        <w:rPr>
          <w:rFonts w:ascii="Arial Narrow" w:hAnsi="Arial Narrow"/>
          <w:b/>
          <w:color w:val="000000"/>
          <w:lang w:val="en-US"/>
        </w:rPr>
        <w:t xml:space="preserve"> - </w:t>
      </w:r>
      <w:hyperlink r:id="rId13" w:history="1">
        <w:r w:rsidRPr="00C640AC">
          <w:rPr>
            <w:rStyle w:val="-"/>
            <w:lang w:val="en-US"/>
          </w:rPr>
          <w:t>www.agro</w:t>
        </w:r>
        <w:r w:rsidRPr="00C640AC">
          <w:rPr>
            <w:rStyle w:val="-"/>
            <w:lang w:val="en-US"/>
          </w:rPr>
          <w:t>m</w:t>
        </w:r>
        <w:r w:rsidRPr="00C640AC">
          <w:rPr>
            <w:rStyle w:val="-"/>
            <w:lang w:val="en-US"/>
          </w:rPr>
          <w:t>ashexpo.hu</w:t>
        </w:r>
      </w:hyperlink>
      <w:r w:rsidRPr="00C640AC">
        <w:rPr>
          <w:rFonts w:ascii="Arial Narrow" w:hAnsi="Arial Narrow"/>
          <w:b/>
          <w:color w:val="000000"/>
          <w:lang w:val="en-US"/>
        </w:rPr>
        <w:t xml:space="preserve"> (</w:t>
      </w:r>
      <w:r w:rsidRPr="00C640AC">
        <w:rPr>
          <w:rFonts w:ascii="Arial Narrow" w:hAnsi="Arial Narrow"/>
          <w:color w:val="000000"/>
          <w:u w:val="single"/>
          <w:lang w:val="en-US"/>
        </w:rPr>
        <w:t xml:space="preserve">3-6 </w:t>
      </w:r>
      <w:r>
        <w:rPr>
          <w:rFonts w:ascii="Arial Narrow" w:hAnsi="Arial Narrow"/>
          <w:color w:val="000000"/>
          <w:u w:val="single"/>
        </w:rPr>
        <w:t>Μαρτίου</w:t>
      </w:r>
      <w:r w:rsidRPr="00C640AC">
        <w:rPr>
          <w:rFonts w:ascii="Arial Narrow" w:hAnsi="Arial Narrow"/>
          <w:color w:val="000000"/>
          <w:u w:val="single"/>
          <w:lang w:val="en-US"/>
        </w:rPr>
        <w:t xml:space="preserve"> 2021).</w:t>
      </w:r>
      <w:r w:rsidRPr="00C640AC">
        <w:rPr>
          <w:rFonts w:ascii="Arial Narrow" w:hAnsi="Arial Narrow"/>
          <w:color w:val="000000"/>
          <w:lang w:val="en-US"/>
        </w:rPr>
        <w:t xml:space="preserve"> </w:t>
      </w:r>
      <w:r w:rsidRPr="00C31E2E">
        <w:rPr>
          <w:rFonts w:ascii="Arial Narrow" w:hAnsi="Arial Narrow"/>
          <w:color w:val="000000"/>
        </w:rPr>
        <w:t>Η μεγαλύτερη έκθεση αγροτικού εξοπλισμού (μηχανήματα, εργαλεία, αυτοματισμοί, λιπάσματα, αγρο</w:t>
      </w:r>
      <w:r>
        <w:rPr>
          <w:rFonts w:ascii="Arial Narrow" w:hAnsi="Arial Narrow"/>
          <w:color w:val="000000"/>
        </w:rPr>
        <w:t>-</w:t>
      </w:r>
      <w:r w:rsidRPr="00C31E2E">
        <w:rPr>
          <w:rFonts w:ascii="Arial Narrow" w:hAnsi="Arial Narrow"/>
          <w:color w:val="000000"/>
        </w:rPr>
        <w:t xml:space="preserve">χημικά, εντομοκτόνα, παρασιτοκτόνα, σπόροι σποράς, κλπ) </w:t>
      </w:r>
      <w:r>
        <w:rPr>
          <w:rFonts w:ascii="Arial Narrow" w:hAnsi="Arial Narrow"/>
          <w:color w:val="000000"/>
        </w:rPr>
        <w:t xml:space="preserve">και αγροτικής τεχνολογίας, </w:t>
      </w:r>
      <w:r w:rsidRPr="00C31E2E">
        <w:rPr>
          <w:rFonts w:ascii="Arial Narrow" w:hAnsi="Arial Narrow"/>
          <w:color w:val="000000"/>
        </w:rPr>
        <w:t>στην Ουγγαρία.</w:t>
      </w:r>
    </w:p>
    <w:p w:rsidR="00C640AC" w:rsidRPr="00C640AC" w:rsidRDefault="00C640AC" w:rsidP="00C640AC">
      <w:pPr>
        <w:ind w:left="540"/>
        <w:rPr>
          <w:rFonts w:ascii="Arial Narrow" w:hAnsi="Arial Narrow"/>
          <w:color w:val="000000"/>
        </w:rPr>
      </w:pPr>
      <w:r w:rsidRPr="00670475">
        <w:rPr>
          <w:rStyle w:val="4Char"/>
          <w:rFonts w:ascii="Arial Narrow" w:hAnsi="Arial Narrow"/>
          <w:color w:val="017A06"/>
          <w:shd w:val="clear" w:color="auto" w:fill="FFFFFF"/>
        </w:rPr>
        <w:t xml:space="preserve">Διοργανωτές: </w:t>
      </w:r>
      <w:r w:rsidRPr="00670475">
        <w:rPr>
          <w:rStyle w:val="a8"/>
          <w:rFonts w:ascii="Arial Narrow" w:hAnsi="Arial Narrow"/>
          <w:b w:val="0"/>
          <w:color w:val="231F20"/>
          <w:shd w:val="clear" w:color="auto" w:fill="FFFFFF"/>
          <w:lang w:val="en-US"/>
        </w:rPr>
        <w:t>Hungexpo</w:t>
      </w:r>
      <w:r w:rsidRPr="00670475">
        <w:rPr>
          <w:rStyle w:val="a8"/>
          <w:rFonts w:ascii="Arial Narrow" w:hAnsi="Arial Narrow"/>
          <w:b w:val="0"/>
          <w:color w:val="231F20"/>
          <w:shd w:val="clear" w:color="auto" w:fill="FFFFFF"/>
        </w:rPr>
        <w:t xml:space="preserve"> </w:t>
      </w:r>
      <w:r w:rsidRPr="00670475">
        <w:rPr>
          <w:rStyle w:val="a8"/>
          <w:rFonts w:ascii="Arial Narrow" w:hAnsi="Arial Narrow"/>
          <w:b w:val="0"/>
          <w:color w:val="231F20"/>
          <w:shd w:val="clear" w:color="auto" w:fill="FFFFFF"/>
          <w:lang w:val="en-US"/>
        </w:rPr>
        <w:t>C</w:t>
      </w:r>
      <w:r w:rsidRPr="00670475">
        <w:rPr>
          <w:rStyle w:val="a8"/>
          <w:rFonts w:ascii="Arial Narrow" w:hAnsi="Arial Narrow"/>
          <w:b w:val="0"/>
          <w:color w:val="231F20"/>
          <w:shd w:val="clear" w:color="auto" w:fill="FFFFFF"/>
        </w:rPr>
        <w:t>.</w:t>
      </w:r>
      <w:r w:rsidRPr="00670475">
        <w:rPr>
          <w:rStyle w:val="a8"/>
          <w:rFonts w:ascii="Arial Narrow" w:hAnsi="Arial Narrow"/>
          <w:b w:val="0"/>
          <w:color w:val="231F20"/>
          <w:shd w:val="clear" w:color="auto" w:fill="FFFFFF"/>
          <w:lang w:val="en-US"/>
        </w:rPr>
        <w:t>Co</w:t>
      </w:r>
      <w:r w:rsidRPr="00670475">
        <w:rPr>
          <w:rStyle w:val="a8"/>
          <w:rFonts w:ascii="Arial Narrow" w:hAnsi="Arial Narrow"/>
          <w:b w:val="0"/>
          <w:color w:val="231F20"/>
          <w:shd w:val="clear" w:color="auto" w:fill="FFFFFF"/>
        </w:rPr>
        <w:t xml:space="preserve">. </w:t>
      </w:r>
      <w:r w:rsidRPr="00670475">
        <w:rPr>
          <w:rStyle w:val="a8"/>
          <w:rFonts w:ascii="Arial Narrow" w:hAnsi="Arial Narrow"/>
          <w:b w:val="0"/>
          <w:color w:val="231F20"/>
          <w:shd w:val="clear" w:color="auto" w:fill="FFFFFF"/>
          <w:lang w:val="en-US"/>
        </w:rPr>
        <w:t>Ltd</w:t>
      </w:r>
      <w:r w:rsidRPr="00670475">
        <w:rPr>
          <w:rStyle w:val="a8"/>
          <w:rFonts w:ascii="Arial Narrow" w:hAnsi="Arial Narrow"/>
          <w:b w:val="0"/>
          <w:color w:val="231F20"/>
          <w:shd w:val="clear" w:color="auto" w:fill="FFFFFF"/>
        </w:rPr>
        <w:t>.</w:t>
      </w:r>
      <w:r w:rsidRPr="00670475">
        <w:rPr>
          <w:rFonts w:ascii="Arial Narrow" w:hAnsi="Arial Narrow"/>
          <w:color w:val="231F20"/>
        </w:rPr>
        <w:br/>
      </w:r>
      <w:r w:rsidRPr="00670475">
        <w:rPr>
          <w:rStyle w:val="a8"/>
          <w:rFonts w:ascii="Arial Narrow" w:hAnsi="Arial Narrow"/>
          <w:color w:val="231F20"/>
          <w:shd w:val="clear" w:color="auto" w:fill="FFFFFF"/>
        </w:rPr>
        <w:t>Διεύθυνση</w:t>
      </w:r>
      <w:r w:rsidRPr="00670475">
        <w:rPr>
          <w:rStyle w:val="a8"/>
          <w:rFonts w:ascii="Arial Narrow" w:hAnsi="Arial Narrow"/>
          <w:color w:val="231F20"/>
          <w:shd w:val="clear" w:color="auto" w:fill="FFFFFF"/>
          <w:lang w:val="en-US"/>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lang w:val="en-US"/>
        </w:rPr>
        <w:t>H-1101 Budapest Albertirsai út 10.</w:t>
      </w:r>
      <w:r w:rsidRPr="00670475">
        <w:rPr>
          <w:rFonts w:ascii="Arial Narrow" w:hAnsi="Arial Narrow"/>
          <w:color w:val="231F20"/>
          <w:lang w:val="en-US"/>
        </w:rPr>
        <w:br/>
      </w:r>
      <w:r w:rsidRPr="00670475">
        <w:rPr>
          <w:rStyle w:val="a8"/>
          <w:rFonts w:ascii="Arial Narrow" w:hAnsi="Arial Narrow"/>
          <w:color w:val="231F20"/>
          <w:shd w:val="clear" w:color="auto" w:fill="FFFFFF"/>
          <w:lang w:val="en-US"/>
        </w:rPr>
        <w:t>T</w:t>
      </w:r>
      <w:r w:rsidRPr="00670475">
        <w:rPr>
          <w:rStyle w:val="a8"/>
          <w:rFonts w:ascii="Arial Narrow" w:hAnsi="Arial Narrow"/>
          <w:color w:val="231F20"/>
          <w:shd w:val="clear" w:color="auto" w:fill="FFFFFF"/>
        </w:rPr>
        <w:t>ηλ</w:t>
      </w:r>
      <w:r w:rsidRPr="00C640AC">
        <w:rPr>
          <w:rStyle w:val="a8"/>
          <w:rFonts w:ascii="Arial Narrow" w:hAnsi="Arial Narrow"/>
          <w:color w:val="231F20"/>
          <w:shd w:val="clear" w:color="auto" w:fill="FFFFFF"/>
        </w:rPr>
        <w:t>.:</w:t>
      </w:r>
      <w:r w:rsidRPr="00670475">
        <w:rPr>
          <w:rStyle w:val="apple-converted-space"/>
          <w:rFonts w:ascii="Arial Narrow" w:hAnsi="Arial Narrow"/>
          <w:b/>
          <w:bCs/>
          <w:color w:val="231F20"/>
          <w:shd w:val="clear" w:color="auto" w:fill="FFFFFF"/>
          <w:lang w:val="en-US"/>
        </w:rPr>
        <w:t> </w:t>
      </w:r>
      <w:r w:rsidRPr="00C640AC">
        <w:rPr>
          <w:rFonts w:ascii="Arial Narrow" w:hAnsi="Arial Narrow"/>
          <w:color w:val="231F20"/>
          <w:shd w:val="clear" w:color="auto" w:fill="FFFFFF"/>
        </w:rPr>
        <w:t xml:space="preserve">(+36 1) 263 6000, </w:t>
      </w:r>
      <w:r w:rsidRPr="00670475">
        <w:rPr>
          <w:rStyle w:val="a8"/>
          <w:rFonts w:ascii="Arial Narrow" w:hAnsi="Arial Narrow"/>
          <w:color w:val="231F20"/>
          <w:shd w:val="clear" w:color="auto" w:fill="FFFFFF"/>
          <w:lang w:val="en-US"/>
        </w:rPr>
        <w:t>Fax</w:t>
      </w:r>
      <w:r w:rsidRPr="00C640AC">
        <w:rPr>
          <w:rStyle w:val="a8"/>
          <w:rFonts w:ascii="Arial Narrow" w:hAnsi="Arial Narrow"/>
          <w:color w:val="231F20"/>
          <w:shd w:val="clear" w:color="auto" w:fill="FFFFFF"/>
        </w:rPr>
        <w:t>:</w:t>
      </w:r>
      <w:r w:rsidRPr="00670475">
        <w:rPr>
          <w:rStyle w:val="apple-converted-space"/>
          <w:rFonts w:ascii="Arial Narrow" w:hAnsi="Arial Narrow"/>
          <w:color w:val="231F20"/>
          <w:shd w:val="clear" w:color="auto" w:fill="FFFFFF"/>
          <w:lang w:val="en-US"/>
        </w:rPr>
        <w:t> </w:t>
      </w:r>
      <w:r w:rsidRPr="00C640AC">
        <w:rPr>
          <w:rFonts w:ascii="Arial Narrow" w:hAnsi="Arial Narrow"/>
          <w:color w:val="231F20"/>
          <w:shd w:val="clear" w:color="auto" w:fill="FFFFFF"/>
        </w:rPr>
        <w:t>(+36 1) 263 6098</w:t>
      </w:r>
      <w:r w:rsidRPr="00C640AC">
        <w:rPr>
          <w:rFonts w:ascii="Arial Narrow" w:hAnsi="Arial Narrow"/>
          <w:color w:val="231F20"/>
        </w:rPr>
        <w:br/>
      </w:r>
      <w:r w:rsidRPr="00670475">
        <w:rPr>
          <w:rStyle w:val="a8"/>
          <w:rFonts w:ascii="Arial Narrow" w:hAnsi="Arial Narrow"/>
          <w:color w:val="231F20"/>
          <w:shd w:val="clear" w:color="auto" w:fill="FFFFFF"/>
          <w:lang w:val="en-US"/>
        </w:rPr>
        <w:t>E</w:t>
      </w:r>
      <w:r w:rsidRPr="00C640AC">
        <w:rPr>
          <w:rStyle w:val="a8"/>
          <w:rFonts w:ascii="Arial Narrow" w:hAnsi="Arial Narrow"/>
          <w:color w:val="231F20"/>
          <w:shd w:val="clear" w:color="auto" w:fill="FFFFFF"/>
        </w:rPr>
        <w:t>-</w:t>
      </w:r>
      <w:r w:rsidRPr="00670475">
        <w:rPr>
          <w:rStyle w:val="a8"/>
          <w:rFonts w:ascii="Arial Narrow" w:hAnsi="Arial Narrow"/>
          <w:color w:val="231F20"/>
          <w:shd w:val="clear" w:color="auto" w:fill="FFFFFF"/>
          <w:lang w:val="en-US"/>
        </w:rPr>
        <w:t>mail</w:t>
      </w:r>
      <w:r w:rsidRPr="00C640AC">
        <w:rPr>
          <w:rStyle w:val="a8"/>
          <w:rFonts w:ascii="Arial Narrow" w:hAnsi="Arial Narrow"/>
          <w:color w:val="231F20"/>
          <w:shd w:val="clear" w:color="auto" w:fill="FFFFFF"/>
        </w:rPr>
        <w:t>:</w:t>
      </w:r>
      <w:r w:rsidRPr="00670475">
        <w:rPr>
          <w:rStyle w:val="apple-converted-space"/>
          <w:rFonts w:ascii="Arial Narrow" w:hAnsi="Arial Narrow"/>
          <w:b/>
          <w:bCs/>
          <w:color w:val="231F20"/>
          <w:shd w:val="clear" w:color="auto" w:fill="FFFFFF"/>
          <w:lang w:val="en-US"/>
        </w:rPr>
        <w:t> </w:t>
      </w:r>
      <w:hyperlink r:id="rId14" w:history="1">
        <w:r w:rsidRPr="00670475">
          <w:rPr>
            <w:rStyle w:val="-"/>
            <w:rFonts w:ascii="Arial Narrow" w:hAnsi="Arial Narrow"/>
            <w:color w:val="D55705"/>
            <w:shd w:val="clear" w:color="auto" w:fill="FFFFFF"/>
            <w:lang w:val="en-US"/>
          </w:rPr>
          <w:t>hungexpo</w:t>
        </w:r>
        <w:r w:rsidRPr="00C640AC">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hungexpo</w:t>
        </w:r>
        <w:r w:rsidRPr="00C640AC">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w:t>
        </w:r>
      </w:hyperlink>
      <w:r>
        <w:rPr>
          <w:rFonts w:ascii="Arial Narrow" w:hAnsi="Arial Narrow"/>
        </w:rPr>
        <w:t xml:space="preserve">   και  </w:t>
      </w:r>
      <w:hyperlink r:id="rId15" w:history="1">
        <w:r w:rsidRPr="00C640AC">
          <w:rPr>
            <w:rStyle w:val="-"/>
            <w:rFonts w:ascii="Arial Narrow" w:hAnsi="Arial Narrow"/>
            <w:color w:val="D55705"/>
            <w:shd w:val="clear" w:color="auto" w:fill="FFFFFF"/>
            <w:lang w:val="en-US"/>
          </w:rPr>
          <w:t>agromashexpo@hungexpo.hu</w:t>
        </w:r>
      </w:hyperlink>
    </w:p>
    <w:p w:rsidR="00071AE0" w:rsidRDefault="00C640AC" w:rsidP="00C640AC">
      <w:pPr>
        <w:ind w:left="540"/>
        <w:jc w:val="both"/>
        <w:rPr>
          <w:rFonts w:ascii="Arial" w:hAnsi="Arial" w:cs="Arial"/>
          <w:b/>
          <w:bCs/>
          <w:color w:val="212529"/>
          <w:sz w:val="18"/>
          <w:szCs w:val="18"/>
        </w:rPr>
      </w:pPr>
      <w:r>
        <w:rPr>
          <w:rFonts w:ascii="Arial Narrow" w:hAnsi="Arial Narrow"/>
          <w:color w:val="000000"/>
        </w:rPr>
        <w:t>Αρμόδιος</w:t>
      </w:r>
      <w:r w:rsidRPr="00C640AC">
        <w:rPr>
          <w:rFonts w:ascii="Arial Narrow" w:hAnsi="Arial Narrow"/>
          <w:color w:val="000000"/>
        </w:rPr>
        <w:t xml:space="preserve"> </w:t>
      </w:r>
      <w:r>
        <w:rPr>
          <w:rFonts w:ascii="Arial Narrow" w:hAnsi="Arial Narrow"/>
          <w:color w:val="000000"/>
        </w:rPr>
        <w:t>Υπάλληλος</w:t>
      </w:r>
      <w:r w:rsidRPr="00C640AC">
        <w:rPr>
          <w:rFonts w:ascii="Arial Narrow" w:hAnsi="Arial Narrow"/>
          <w:color w:val="000000"/>
        </w:rPr>
        <w:t xml:space="preserve">: </w:t>
      </w:r>
      <w:r w:rsidRPr="00071AE0">
        <w:rPr>
          <w:rFonts w:ascii="Arial Narrow" w:hAnsi="Arial Narrow"/>
          <w:bCs/>
          <w:color w:val="000000"/>
        </w:rPr>
        <w:t>Ms. Krisztina SZILVÁSI,</w:t>
      </w:r>
      <w:r w:rsidR="00071AE0" w:rsidRPr="00071AE0">
        <w:rPr>
          <w:rFonts w:ascii="Arial Narrow" w:hAnsi="Arial Narrow"/>
          <w:bCs/>
          <w:color w:val="000000"/>
        </w:rPr>
        <w:t xml:space="preserve"> </w:t>
      </w:r>
      <w:r w:rsidR="00071AE0" w:rsidRPr="00071AE0">
        <w:rPr>
          <w:bCs/>
          <w:color w:val="000000"/>
        </w:rPr>
        <w:t>E-mail</w:t>
      </w:r>
      <w:r w:rsidR="00071AE0" w:rsidRPr="00C640AC">
        <w:rPr>
          <w:rStyle w:val="a8"/>
          <w:rFonts w:ascii="Arial Narrow" w:hAnsi="Arial Narrow"/>
          <w:color w:val="231F20"/>
          <w:shd w:val="clear" w:color="auto" w:fill="FFFFFF"/>
        </w:rPr>
        <w:t>:</w:t>
      </w:r>
      <w:r w:rsidR="00071AE0" w:rsidRPr="00670475">
        <w:rPr>
          <w:rStyle w:val="apple-converted-space"/>
          <w:rFonts w:ascii="Arial Narrow" w:hAnsi="Arial Narrow"/>
          <w:b/>
          <w:bCs/>
          <w:color w:val="231F20"/>
          <w:shd w:val="clear" w:color="auto" w:fill="FFFFFF"/>
          <w:lang w:val="en-US"/>
        </w:rPr>
        <w:t> </w:t>
      </w:r>
      <w:hyperlink r:id="rId16" w:history="1">
        <w:r w:rsidR="00071AE0" w:rsidRPr="002E2F7F">
          <w:rPr>
            <w:rStyle w:val="-"/>
            <w:rFonts w:ascii="Arial" w:hAnsi="Arial" w:cs="Arial"/>
            <w:b/>
            <w:bCs/>
            <w:sz w:val="18"/>
            <w:szCs w:val="18"/>
          </w:rPr>
          <w:t>szilvasi.krisztina@hungexpo.hu</w:t>
        </w:r>
      </w:hyperlink>
      <w:r w:rsidR="00071AE0">
        <w:rPr>
          <w:rFonts w:ascii="Arial" w:hAnsi="Arial" w:cs="Arial"/>
          <w:b/>
          <w:bCs/>
          <w:color w:val="212529"/>
          <w:sz w:val="18"/>
          <w:szCs w:val="18"/>
        </w:rPr>
        <w:t xml:space="preserve"> </w:t>
      </w:r>
    </w:p>
    <w:p w:rsidR="00C640AC" w:rsidRPr="00C640AC" w:rsidRDefault="00C640AC" w:rsidP="00071AE0">
      <w:pPr>
        <w:ind w:left="540"/>
        <w:jc w:val="both"/>
        <w:rPr>
          <w:rFonts w:ascii="Arial Narrow" w:hAnsi="Arial Narrow"/>
          <w:color w:val="000000"/>
        </w:rPr>
      </w:pPr>
      <w:r w:rsidRPr="00071AE0">
        <w:rPr>
          <w:rFonts w:ascii="Arial Narrow" w:hAnsi="Arial Narrow"/>
          <w:b/>
          <w:bCs/>
          <w:color w:val="000000"/>
        </w:rPr>
        <w:t xml:space="preserve">κιν.: </w:t>
      </w:r>
      <w:r w:rsidRPr="00071AE0">
        <w:rPr>
          <w:rFonts w:ascii="Arial Narrow" w:hAnsi="Arial Narrow"/>
          <w:color w:val="000000"/>
        </w:rPr>
        <w:t>+3630 337 1777, τηλ.: +361 263 6075</w:t>
      </w:r>
    </w:p>
    <w:p w:rsidR="00C640AC" w:rsidRPr="00C640AC" w:rsidRDefault="00C640AC" w:rsidP="004C7938">
      <w:pPr>
        <w:rPr>
          <w:rFonts w:ascii="Arial Narrow" w:hAnsi="Arial Narrow"/>
          <w:lang w:val="hu-HU"/>
        </w:rPr>
      </w:pPr>
    </w:p>
    <w:p w:rsidR="00C640AC" w:rsidRDefault="00C640AC" w:rsidP="004C7938">
      <w:pPr>
        <w:rPr>
          <w:rFonts w:ascii="Arial Narrow" w:hAnsi="Arial Narrow"/>
        </w:rPr>
      </w:pPr>
    </w:p>
    <w:p w:rsidR="00104D75" w:rsidRPr="00104D75" w:rsidRDefault="00104D75" w:rsidP="004C7938">
      <w:pPr>
        <w:numPr>
          <w:ilvl w:val="0"/>
          <w:numId w:val="6"/>
        </w:numPr>
        <w:ind w:left="540" w:hanging="540"/>
        <w:jc w:val="both"/>
        <w:rPr>
          <w:rFonts w:ascii="Arial Narrow" w:hAnsi="Arial Narrow"/>
        </w:rPr>
      </w:pPr>
      <w:r w:rsidRPr="00104D75">
        <w:rPr>
          <w:rFonts w:ascii="Arial Narrow" w:hAnsi="Arial Narrow"/>
          <w:b/>
          <w:color w:val="000000"/>
          <w:lang w:val="en-US"/>
        </w:rPr>
        <w:t xml:space="preserve">TRAVEL-UTAZAS – </w:t>
      </w:r>
      <w:hyperlink r:id="rId17" w:history="1">
        <w:r w:rsidRPr="00104D75">
          <w:rPr>
            <w:rStyle w:val="-"/>
            <w:rFonts w:ascii="Arial Narrow" w:hAnsi="Arial Narrow"/>
            <w:lang w:val="en-US"/>
          </w:rPr>
          <w:t>www.</w:t>
        </w:r>
        <w:r w:rsidRPr="00104D75">
          <w:rPr>
            <w:rStyle w:val="-"/>
            <w:lang w:val="en-US"/>
          </w:rPr>
          <w:t>utazas.hungexpo.hu</w:t>
        </w:r>
      </w:hyperlink>
      <w:r w:rsidRPr="00104D75">
        <w:rPr>
          <w:lang w:val="en-US"/>
        </w:rPr>
        <w:t xml:space="preserve"> (</w:t>
      </w:r>
      <w:r w:rsidRPr="00104D75">
        <w:rPr>
          <w:rFonts w:ascii="Arial Narrow" w:hAnsi="Arial Narrow"/>
          <w:color w:val="000000"/>
          <w:u w:val="single"/>
          <w:lang w:val="en-US"/>
        </w:rPr>
        <w:t xml:space="preserve">6-9 </w:t>
      </w:r>
      <w:r w:rsidRPr="00104D75">
        <w:rPr>
          <w:rFonts w:ascii="Arial Narrow" w:hAnsi="Arial Narrow"/>
          <w:color w:val="000000"/>
          <w:u w:val="single"/>
        </w:rPr>
        <w:t>Μαΐου</w:t>
      </w:r>
      <w:r w:rsidRPr="00104D75">
        <w:rPr>
          <w:rFonts w:ascii="Arial Narrow" w:hAnsi="Arial Narrow"/>
          <w:color w:val="000000"/>
          <w:u w:val="single"/>
          <w:lang w:val="en-US"/>
        </w:rPr>
        <w:t xml:space="preserve"> 2021).</w:t>
      </w:r>
      <w:r w:rsidRPr="00104D75">
        <w:rPr>
          <w:rFonts w:ascii="Arial Narrow" w:hAnsi="Arial Narrow"/>
          <w:color w:val="000000"/>
          <w:lang w:val="en-US"/>
        </w:rPr>
        <w:t xml:space="preserve"> </w:t>
      </w:r>
      <w:r w:rsidRPr="00104D75">
        <w:rPr>
          <w:rFonts w:ascii="Arial Narrow" w:hAnsi="Arial Narrow"/>
          <w:color w:val="000000"/>
        </w:rPr>
        <w:t xml:space="preserve">Διεθνής Έκθεση Τουρισμού, η σημαντικότερη στην κεντρική και ανατολική Ευρώπη. </w:t>
      </w:r>
    </w:p>
    <w:p w:rsidR="00104D75" w:rsidRDefault="00104D75" w:rsidP="004C7938">
      <w:pPr>
        <w:rPr>
          <w:rFonts w:ascii="Arial Narrow" w:hAnsi="Arial Narrow"/>
        </w:rPr>
      </w:pPr>
    </w:p>
    <w:p w:rsidR="00104D75" w:rsidRDefault="00104D75" w:rsidP="00104D75">
      <w:pPr>
        <w:numPr>
          <w:ilvl w:val="0"/>
          <w:numId w:val="6"/>
        </w:numPr>
        <w:ind w:left="540" w:hanging="540"/>
        <w:jc w:val="both"/>
        <w:rPr>
          <w:rFonts w:ascii="Arial Narrow" w:hAnsi="Arial Narrow"/>
        </w:rPr>
      </w:pPr>
      <w:r w:rsidRPr="00104D75">
        <w:rPr>
          <w:rFonts w:ascii="Arial Narrow" w:hAnsi="Arial Narrow"/>
          <w:b/>
          <w:color w:val="000000"/>
          <w:lang w:val="en-US"/>
        </w:rPr>
        <w:t>BEAUTY &amp; STYLE</w:t>
      </w:r>
      <w:r w:rsidRPr="00104D75">
        <w:rPr>
          <w:lang w:val="en-US"/>
        </w:rPr>
        <w:t xml:space="preserve"> - </w:t>
      </w:r>
      <w:hyperlink r:id="rId18" w:history="1">
        <w:r w:rsidRPr="00104D75">
          <w:rPr>
            <w:rStyle w:val="-"/>
            <w:lang w:val="en-US"/>
          </w:rPr>
          <w:t>www.beautyandstyle.hu</w:t>
        </w:r>
      </w:hyperlink>
      <w:r w:rsidRPr="00104D75">
        <w:rPr>
          <w:lang w:val="en-US"/>
        </w:rPr>
        <w:t xml:space="preserve"> (</w:t>
      </w:r>
      <w:r w:rsidRPr="00104D75">
        <w:rPr>
          <w:rFonts w:ascii="Arial Narrow" w:hAnsi="Arial Narrow"/>
          <w:color w:val="000000"/>
          <w:u w:val="single"/>
          <w:lang w:val="en-US"/>
        </w:rPr>
        <w:t xml:space="preserve">8-9 </w:t>
      </w:r>
      <w:r w:rsidRPr="00104D75">
        <w:rPr>
          <w:rFonts w:ascii="Arial Narrow" w:hAnsi="Arial Narrow"/>
          <w:color w:val="000000"/>
          <w:u w:val="single"/>
        </w:rPr>
        <w:t>Μαΐου</w:t>
      </w:r>
      <w:r w:rsidRPr="00104D75">
        <w:rPr>
          <w:rFonts w:ascii="Arial Narrow" w:hAnsi="Arial Narrow"/>
          <w:color w:val="000000"/>
          <w:u w:val="single"/>
          <w:lang w:val="en-US"/>
        </w:rPr>
        <w:t xml:space="preserve"> 2021).</w:t>
      </w:r>
      <w:r w:rsidRPr="00104D75">
        <w:rPr>
          <w:rFonts w:ascii="Arial Narrow" w:hAnsi="Arial Narrow"/>
          <w:color w:val="000000"/>
          <w:lang w:val="en-US"/>
        </w:rPr>
        <w:t xml:space="preserve"> </w:t>
      </w:r>
      <w:r w:rsidRPr="00104D75">
        <w:rPr>
          <w:lang w:val="en-US"/>
        </w:rPr>
        <w:t xml:space="preserve"> </w:t>
      </w:r>
      <w:r w:rsidRPr="00104D75">
        <w:rPr>
          <w:rFonts w:ascii="Arial Narrow" w:hAnsi="Arial Narrow"/>
        </w:rPr>
        <w:t>Διεθνής Έκθεση ομορφιάς και προσωπικής φροντίδας. Καλλυντικά, τεχνικές ομορφιάς και περιποίησης σώματος, εξοπλισμός ινστιτούτων (αισθητικής, κομμωτικής κ.ά), Spa, Fitness, Solarium, Συμβουλευτικές</w:t>
      </w:r>
      <w:r>
        <w:rPr>
          <w:rFonts w:ascii="Arial Narrow" w:hAnsi="Arial Narrow"/>
        </w:rPr>
        <w:t xml:space="preserve"> υπηρεσίες.</w:t>
      </w:r>
    </w:p>
    <w:p w:rsidR="00104D75" w:rsidRDefault="00104D75" w:rsidP="00104D75">
      <w:pPr>
        <w:pStyle w:val="aa"/>
        <w:rPr>
          <w:rFonts w:ascii="Arial Narrow" w:hAnsi="Arial Narrow"/>
        </w:rPr>
      </w:pPr>
    </w:p>
    <w:p w:rsidR="00104D75" w:rsidRDefault="00104D75" w:rsidP="00104D75">
      <w:pPr>
        <w:numPr>
          <w:ilvl w:val="0"/>
          <w:numId w:val="6"/>
        </w:numPr>
        <w:ind w:left="540" w:hanging="540"/>
        <w:jc w:val="both"/>
        <w:rPr>
          <w:rFonts w:ascii="Arial Narrow" w:hAnsi="Arial Narrow"/>
        </w:rPr>
      </w:pPr>
      <w:r w:rsidRPr="00104D75">
        <w:rPr>
          <w:rFonts w:ascii="Arial Narrow" w:hAnsi="Arial Narrow"/>
          <w:b/>
          <w:color w:val="000000"/>
          <w:lang w:val="en-US"/>
        </w:rPr>
        <w:t>MACH-TECH - INDUSTRY DAYS</w:t>
      </w:r>
      <w:r w:rsidRPr="00104D75">
        <w:rPr>
          <w:rFonts w:ascii="Arial Narrow" w:hAnsi="Arial Narrow"/>
        </w:rPr>
        <w:t xml:space="preserve"> - </w:t>
      </w:r>
      <w:r w:rsidRPr="00104D75">
        <w:rPr>
          <w:rStyle w:val="-"/>
          <w:lang w:val="en-US"/>
        </w:rPr>
        <w:t>www.iparnapjai.hu</w:t>
      </w:r>
      <w:r w:rsidRPr="00104D75">
        <w:rPr>
          <w:rFonts w:ascii="Arial Narrow" w:hAnsi="Arial Narrow"/>
        </w:rPr>
        <w:t xml:space="preserve"> </w:t>
      </w:r>
      <w:r w:rsidRPr="00104D75">
        <w:rPr>
          <w:rFonts w:ascii="Arial Narrow" w:hAnsi="Arial Narrow"/>
          <w:color w:val="000000"/>
          <w:u w:val="single"/>
        </w:rPr>
        <w:t>(10-</w:t>
      </w:r>
      <w:r>
        <w:rPr>
          <w:rFonts w:ascii="Arial Narrow" w:hAnsi="Arial Narrow"/>
          <w:color w:val="000000"/>
          <w:u w:val="single"/>
        </w:rPr>
        <w:t>13</w:t>
      </w:r>
      <w:r w:rsidRPr="00104D75">
        <w:rPr>
          <w:rFonts w:ascii="Arial Narrow" w:hAnsi="Arial Narrow"/>
          <w:color w:val="000000"/>
          <w:u w:val="single"/>
        </w:rPr>
        <w:t xml:space="preserve"> Μαΐου 2021).</w:t>
      </w:r>
      <w:r w:rsidRPr="00104D75">
        <w:rPr>
          <w:rFonts w:ascii="Arial Narrow" w:hAnsi="Arial Narrow"/>
          <w:color w:val="000000"/>
        </w:rPr>
        <w:t xml:space="preserve"> </w:t>
      </w:r>
      <w:r w:rsidRPr="00104D75">
        <w:t xml:space="preserve"> </w:t>
      </w:r>
      <w:r w:rsidRPr="00104D75">
        <w:rPr>
          <w:rFonts w:ascii="Arial Narrow" w:hAnsi="Arial Narrow"/>
        </w:rPr>
        <w:t xml:space="preserve"> Διεθνής Έκθεση Αυτοματισμού, Ρομποτικής, τεχνολογία Mach &amp; Weld. Τεχνολογίες ασφάλειας &amp; άμυνας, βιομηχανική προστασία  περιβάλλοντος.</w:t>
      </w:r>
    </w:p>
    <w:p w:rsidR="00104D75" w:rsidRPr="00104D75" w:rsidRDefault="00104D75" w:rsidP="004C7938">
      <w:pPr>
        <w:rPr>
          <w:rFonts w:ascii="Arial Narrow" w:hAnsi="Arial Narrow"/>
        </w:rPr>
      </w:pPr>
    </w:p>
    <w:p w:rsidR="008B01AD" w:rsidRPr="00104D75" w:rsidRDefault="00361F53" w:rsidP="00361F53">
      <w:pPr>
        <w:numPr>
          <w:ilvl w:val="0"/>
          <w:numId w:val="6"/>
        </w:numPr>
        <w:ind w:left="540" w:hanging="540"/>
        <w:jc w:val="both"/>
        <w:rPr>
          <w:rFonts w:ascii="Arial Narrow" w:hAnsi="Arial Narrow"/>
          <w:color w:val="000000"/>
        </w:rPr>
      </w:pPr>
      <w:r w:rsidRPr="00361F53">
        <w:rPr>
          <w:rFonts w:ascii="Arial Narrow" w:hAnsi="Arial Narrow"/>
          <w:b/>
          <w:color w:val="000000"/>
          <w:lang w:val="en-US"/>
        </w:rPr>
        <w:t>One</w:t>
      </w:r>
      <w:r w:rsidRPr="00104D75">
        <w:rPr>
          <w:rFonts w:ascii="Arial Narrow" w:hAnsi="Arial Narrow"/>
          <w:b/>
          <w:color w:val="000000"/>
          <w:lang w:val="en-US"/>
        </w:rPr>
        <w:t xml:space="preserve"> </w:t>
      </w:r>
      <w:r w:rsidRPr="00361F53">
        <w:rPr>
          <w:rFonts w:ascii="Arial Narrow" w:hAnsi="Arial Narrow"/>
          <w:b/>
          <w:color w:val="000000"/>
          <w:lang w:val="en-US"/>
        </w:rPr>
        <w:t>with</w:t>
      </w:r>
      <w:r w:rsidRPr="00104D75">
        <w:rPr>
          <w:rFonts w:ascii="Arial Narrow" w:hAnsi="Arial Narrow"/>
          <w:b/>
          <w:color w:val="000000"/>
          <w:lang w:val="en-US"/>
        </w:rPr>
        <w:t xml:space="preserve"> </w:t>
      </w:r>
      <w:r w:rsidRPr="00361F53">
        <w:rPr>
          <w:rFonts w:ascii="Arial Narrow" w:hAnsi="Arial Narrow"/>
          <w:b/>
          <w:color w:val="000000"/>
          <w:lang w:val="en-US"/>
        </w:rPr>
        <w:t>Nature</w:t>
      </w:r>
      <w:r w:rsidRPr="00104D75">
        <w:rPr>
          <w:rFonts w:ascii="Arial Narrow" w:hAnsi="Arial Narrow"/>
          <w:b/>
          <w:color w:val="000000"/>
          <w:lang w:val="en-US"/>
        </w:rPr>
        <w:t xml:space="preserve"> - </w:t>
      </w:r>
      <w:hyperlink r:id="rId19" w:tgtFrame="_blank" w:history="1">
        <w:r w:rsidR="00104D75" w:rsidRPr="00361F53">
          <w:rPr>
            <w:rStyle w:val="-"/>
            <w:lang w:val="en-US"/>
          </w:rPr>
          <w:t>www</w:t>
        </w:r>
        <w:r w:rsidR="00104D75" w:rsidRPr="00104D75">
          <w:rPr>
            <w:rStyle w:val="-"/>
            <w:lang w:val="en-US"/>
          </w:rPr>
          <w:t>.</w:t>
        </w:r>
        <w:r w:rsidR="00104D75" w:rsidRPr="00361F53">
          <w:rPr>
            <w:rStyle w:val="-"/>
            <w:lang w:val="en-US"/>
          </w:rPr>
          <w:t>onewithnature</w:t>
        </w:r>
        <w:r w:rsidR="00104D75" w:rsidRPr="00104D75">
          <w:rPr>
            <w:rStyle w:val="-"/>
            <w:lang w:val="en-US"/>
          </w:rPr>
          <w:t>2021.</w:t>
        </w:r>
        <w:r w:rsidR="00104D75" w:rsidRPr="00361F53">
          <w:rPr>
            <w:rStyle w:val="-"/>
            <w:lang w:val="en-US"/>
          </w:rPr>
          <w:t>org</w:t>
        </w:r>
      </w:hyperlink>
      <w:r w:rsidR="00104D75" w:rsidRPr="00104D75">
        <w:rPr>
          <w:rFonts w:ascii="Arial Narrow" w:hAnsi="Arial Narrow"/>
          <w:color w:val="000000"/>
          <w:lang w:val="en-US"/>
        </w:rPr>
        <w:t xml:space="preserve">  </w:t>
      </w:r>
      <w:r w:rsidR="00104D75" w:rsidRPr="00104D75">
        <w:rPr>
          <w:rFonts w:ascii="Arial Narrow" w:hAnsi="Arial Narrow"/>
          <w:color w:val="000000"/>
          <w:u w:val="single"/>
          <w:lang w:val="en-US"/>
        </w:rPr>
        <w:t>(25/9 – 14/10/2021).</w:t>
      </w:r>
      <w:r w:rsidR="00104D75" w:rsidRPr="00104D75">
        <w:rPr>
          <w:rFonts w:ascii="Arial Narrow" w:hAnsi="Arial Narrow"/>
          <w:color w:val="000000"/>
          <w:lang w:val="en-US"/>
        </w:rPr>
        <w:t xml:space="preserve"> </w:t>
      </w:r>
      <w:r w:rsidRPr="00104D75">
        <w:rPr>
          <w:rFonts w:ascii="Arial Narrow" w:hAnsi="Arial Narrow"/>
          <w:color w:val="000000"/>
        </w:rPr>
        <w:t xml:space="preserve">Παγκόσμια Έκθεση Θήρας και Φύσης </w:t>
      </w:r>
    </w:p>
    <w:p w:rsidR="00361F53" w:rsidRDefault="00361F53" w:rsidP="0098297B">
      <w:pPr>
        <w:ind w:left="540"/>
        <w:rPr>
          <w:rFonts w:ascii="Arial Narrow" w:hAnsi="Arial Narrow"/>
        </w:rPr>
      </w:pPr>
      <w:r w:rsidRPr="00670475">
        <w:rPr>
          <w:rStyle w:val="4Char"/>
          <w:rFonts w:ascii="Arial Narrow" w:hAnsi="Arial Narrow"/>
          <w:color w:val="017A06"/>
          <w:shd w:val="clear" w:color="auto" w:fill="FFFFFF"/>
        </w:rPr>
        <w:t>Διοργανωτές</w:t>
      </w:r>
      <w:r w:rsidRPr="00361F53">
        <w:rPr>
          <w:rStyle w:val="4Char"/>
          <w:rFonts w:ascii="Arial Narrow" w:hAnsi="Arial Narrow"/>
          <w:color w:val="017A06"/>
          <w:shd w:val="clear" w:color="auto" w:fill="FFFFFF"/>
          <w:lang w:val="en-US"/>
        </w:rPr>
        <w:t xml:space="preserve">: </w:t>
      </w:r>
      <w:r w:rsidRPr="00670475">
        <w:rPr>
          <w:rStyle w:val="a8"/>
          <w:rFonts w:ascii="Arial Narrow" w:hAnsi="Arial Narrow"/>
          <w:b w:val="0"/>
          <w:color w:val="231F20"/>
          <w:shd w:val="clear" w:color="auto" w:fill="FFFFFF"/>
          <w:lang w:val="en-US"/>
        </w:rPr>
        <w:t>Hungexpo</w:t>
      </w:r>
      <w:r w:rsidRPr="00361F53">
        <w:rPr>
          <w:rStyle w:val="a8"/>
          <w:rFonts w:ascii="Arial Narrow" w:hAnsi="Arial Narrow"/>
          <w:b w:val="0"/>
          <w:color w:val="231F20"/>
          <w:shd w:val="clear" w:color="auto" w:fill="FFFFFF"/>
          <w:lang w:val="en-US"/>
        </w:rPr>
        <w:t xml:space="preserve"> </w:t>
      </w:r>
      <w:r w:rsidRPr="00670475">
        <w:rPr>
          <w:rStyle w:val="a8"/>
          <w:rFonts w:ascii="Arial Narrow" w:hAnsi="Arial Narrow"/>
          <w:b w:val="0"/>
          <w:color w:val="231F20"/>
          <w:shd w:val="clear" w:color="auto" w:fill="FFFFFF"/>
          <w:lang w:val="en-US"/>
        </w:rPr>
        <w:t>C</w:t>
      </w:r>
      <w:r w:rsidRPr="00361F53">
        <w:rPr>
          <w:rStyle w:val="a8"/>
          <w:rFonts w:ascii="Arial Narrow" w:hAnsi="Arial Narrow"/>
          <w:b w:val="0"/>
          <w:color w:val="231F20"/>
          <w:shd w:val="clear" w:color="auto" w:fill="FFFFFF"/>
          <w:lang w:val="en-US"/>
        </w:rPr>
        <w:t>.</w:t>
      </w:r>
      <w:r w:rsidRPr="00670475">
        <w:rPr>
          <w:rStyle w:val="a8"/>
          <w:rFonts w:ascii="Arial Narrow" w:hAnsi="Arial Narrow"/>
          <w:b w:val="0"/>
          <w:color w:val="231F20"/>
          <w:shd w:val="clear" w:color="auto" w:fill="FFFFFF"/>
          <w:lang w:val="en-US"/>
        </w:rPr>
        <w:t>Co</w:t>
      </w:r>
      <w:r w:rsidRPr="00361F53">
        <w:rPr>
          <w:rStyle w:val="a8"/>
          <w:rFonts w:ascii="Arial Narrow" w:hAnsi="Arial Narrow"/>
          <w:b w:val="0"/>
          <w:color w:val="231F20"/>
          <w:shd w:val="clear" w:color="auto" w:fill="FFFFFF"/>
          <w:lang w:val="en-US"/>
        </w:rPr>
        <w:t xml:space="preserve">. </w:t>
      </w:r>
      <w:r w:rsidRPr="00670475">
        <w:rPr>
          <w:rStyle w:val="a8"/>
          <w:rFonts w:ascii="Arial Narrow" w:hAnsi="Arial Narrow"/>
          <w:b w:val="0"/>
          <w:color w:val="231F20"/>
          <w:shd w:val="clear" w:color="auto" w:fill="FFFFFF"/>
          <w:lang w:val="en-US"/>
        </w:rPr>
        <w:t>Ltd</w:t>
      </w:r>
      <w:r w:rsidRPr="00361F53">
        <w:rPr>
          <w:rStyle w:val="a8"/>
          <w:rFonts w:ascii="Arial Narrow" w:hAnsi="Arial Narrow"/>
          <w:b w:val="0"/>
          <w:color w:val="231F20"/>
          <w:shd w:val="clear" w:color="auto" w:fill="FFFFFF"/>
          <w:lang w:val="en-US"/>
        </w:rPr>
        <w:t>.</w:t>
      </w:r>
      <w:r w:rsidRPr="00361F53">
        <w:rPr>
          <w:rFonts w:ascii="Arial Narrow" w:hAnsi="Arial Narrow"/>
          <w:color w:val="231F20"/>
          <w:lang w:val="en-US"/>
        </w:rPr>
        <w:br/>
      </w:r>
      <w:r w:rsidRPr="00670475">
        <w:rPr>
          <w:rStyle w:val="a8"/>
          <w:rFonts w:ascii="Arial Narrow" w:hAnsi="Arial Narrow"/>
          <w:color w:val="231F20"/>
          <w:shd w:val="clear" w:color="auto" w:fill="FFFFFF"/>
        </w:rPr>
        <w:t>Διεύθυνση</w:t>
      </w:r>
      <w:r w:rsidRPr="00670475">
        <w:rPr>
          <w:rStyle w:val="a8"/>
          <w:rFonts w:ascii="Arial Narrow" w:hAnsi="Arial Narrow"/>
          <w:color w:val="231F20"/>
          <w:shd w:val="clear" w:color="auto" w:fill="FFFFFF"/>
          <w:lang w:val="en-US"/>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lang w:val="en-US"/>
        </w:rPr>
        <w:t>H-1101 Budapest Albertirsai út 10.</w:t>
      </w:r>
      <w:r w:rsidRPr="00670475">
        <w:rPr>
          <w:rFonts w:ascii="Arial Narrow" w:hAnsi="Arial Narrow"/>
          <w:color w:val="231F20"/>
          <w:lang w:val="en-US"/>
        </w:rPr>
        <w:br/>
      </w:r>
      <w:r w:rsidRPr="00670475">
        <w:rPr>
          <w:rStyle w:val="a8"/>
          <w:rFonts w:ascii="Arial Narrow" w:hAnsi="Arial Narrow"/>
          <w:color w:val="231F20"/>
          <w:shd w:val="clear" w:color="auto" w:fill="FFFFFF"/>
          <w:lang w:val="en-US"/>
        </w:rPr>
        <w:t>T</w:t>
      </w:r>
      <w:r w:rsidRPr="00670475">
        <w:rPr>
          <w:rStyle w:val="a8"/>
          <w:rFonts w:ascii="Arial Narrow" w:hAnsi="Arial Narrow"/>
          <w:color w:val="231F20"/>
          <w:shd w:val="clear" w:color="auto" w:fill="FFFFFF"/>
        </w:rPr>
        <w:t>ηλ.:</w:t>
      </w:r>
      <w:r w:rsidRPr="00670475">
        <w:rPr>
          <w:rStyle w:val="apple-converted-space"/>
          <w:rFonts w:ascii="Arial Narrow" w:hAnsi="Arial Narrow"/>
          <w:b/>
          <w:bCs/>
          <w:color w:val="231F20"/>
          <w:shd w:val="clear" w:color="auto" w:fill="FFFFFF"/>
          <w:lang w:val="en-US"/>
        </w:rPr>
        <w:t> </w:t>
      </w:r>
      <w:r w:rsidRPr="00670475">
        <w:rPr>
          <w:rFonts w:ascii="Arial Narrow" w:hAnsi="Arial Narrow"/>
          <w:color w:val="231F20"/>
          <w:shd w:val="clear" w:color="auto" w:fill="FFFFFF"/>
        </w:rPr>
        <w:t xml:space="preserve">(+36 1) 263 6000, </w:t>
      </w:r>
      <w:r w:rsidRPr="00670475">
        <w:rPr>
          <w:rStyle w:val="a8"/>
          <w:rFonts w:ascii="Arial Narrow" w:hAnsi="Arial Narrow"/>
          <w:color w:val="231F20"/>
          <w:shd w:val="clear" w:color="auto" w:fill="FFFFFF"/>
          <w:lang w:val="en-US"/>
        </w:rPr>
        <w:t>Fax</w:t>
      </w:r>
      <w:r w:rsidRPr="00670475">
        <w:rPr>
          <w:rStyle w:val="a8"/>
          <w:rFonts w:ascii="Arial Narrow" w:hAnsi="Arial Narrow"/>
          <w:color w:val="231F20"/>
          <w:shd w:val="clear" w:color="auto" w:fill="FFFFFF"/>
        </w:rPr>
        <w:t>:</w:t>
      </w:r>
      <w:r w:rsidRPr="00670475">
        <w:rPr>
          <w:rStyle w:val="apple-converted-space"/>
          <w:rFonts w:ascii="Arial Narrow" w:hAnsi="Arial Narrow"/>
          <w:color w:val="231F20"/>
          <w:shd w:val="clear" w:color="auto" w:fill="FFFFFF"/>
          <w:lang w:val="en-US"/>
        </w:rPr>
        <w:t> </w:t>
      </w:r>
      <w:r w:rsidRPr="00670475">
        <w:rPr>
          <w:rFonts w:ascii="Arial Narrow" w:hAnsi="Arial Narrow"/>
          <w:color w:val="231F20"/>
          <w:shd w:val="clear" w:color="auto" w:fill="FFFFFF"/>
        </w:rPr>
        <w:t>(+36 1) 263 6098</w:t>
      </w:r>
      <w:r w:rsidRPr="00670475">
        <w:rPr>
          <w:rFonts w:ascii="Arial Narrow" w:hAnsi="Arial Narrow"/>
          <w:color w:val="231F20"/>
        </w:rPr>
        <w:br/>
      </w:r>
      <w:r w:rsidRPr="00670475">
        <w:rPr>
          <w:rStyle w:val="a8"/>
          <w:rFonts w:ascii="Arial Narrow" w:hAnsi="Arial Narrow"/>
          <w:color w:val="231F20"/>
          <w:shd w:val="clear" w:color="auto" w:fill="FFFFFF"/>
          <w:lang w:val="en-US"/>
        </w:rPr>
        <w:t>E</w:t>
      </w:r>
      <w:r w:rsidRPr="00670475">
        <w:rPr>
          <w:rStyle w:val="a8"/>
          <w:rFonts w:ascii="Arial Narrow" w:hAnsi="Arial Narrow"/>
          <w:color w:val="231F20"/>
          <w:shd w:val="clear" w:color="auto" w:fill="FFFFFF"/>
        </w:rPr>
        <w:t>-</w:t>
      </w:r>
      <w:r w:rsidRPr="00670475">
        <w:rPr>
          <w:rStyle w:val="a8"/>
          <w:rFonts w:ascii="Arial Narrow" w:hAnsi="Arial Narrow"/>
          <w:color w:val="231F20"/>
          <w:shd w:val="clear" w:color="auto" w:fill="FFFFFF"/>
          <w:lang w:val="en-US"/>
        </w:rPr>
        <w:t>mail</w:t>
      </w:r>
      <w:r w:rsidRPr="00670475">
        <w:rPr>
          <w:rStyle w:val="a8"/>
          <w:rFonts w:ascii="Arial Narrow" w:hAnsi="Arial Narrow"/>
          <w:color w:val="231F20"/>
          <w:shd w:val="clear" w:color="auto" w:fill="FFFFFF"/>
        </w:rPr>
        <w:t>:</w:t>
      </w:r>
      <w:r w:rsidRPr="00670475">
        <w:rPr>
          <w:rStyle w:val="apple-converted-space"/>
          <w:rFonts w:ascii="Arial Narrow" w:hAnsi="Arial Narrow"/>
          <w:b/>
          <w:bCs/>
          <w:color w:val="231F20"/>
          <w:shd w:val="clear" w:color="auto" w:fill="FFFFFF"/>
          <w:lang w:val="en-US"/>
        </w:rPr>
        <w:t> </w:t>
      </w:r>
      <w:hyperlink r:id="rId20" w:history="1">
        <w:r w:rsidRPr="00670475">
          <w:rPr>
            <w:rStyle w:val="-"/>
            <w:rFonts w:ascii="Arial Narrow" w:hAnsi="Arial Narrow"/>
            <w:color w:val="D55705"/>
            <w:shd w:val="clear" w:color="auto" w:fill="FFFFFF"/>
            <w:lang w:val="en-US"/>
          </w:rPr>
          <w:t>hungexpo</w:t>
        </w:r>
        <w:r w:rsidRPr="00670475">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hungexpo</w:t>
        </w:r>
        <w:r w:rsidRPr="00670475">
          <w:rPr>
            <w:rStyle w:val="-"/>
            <w:rFonts w:ascii="Arial Narrow" w:hAnsi="Arial Narrow"/>
            <w:color w:val="D55705"/>
            <w:shd w:val="clear" w:color="auto" w:fill="FFFFFF"/>
          </w:rPr>
          <w:t>.</w:t>
        </w:r>
        <w:r w:rsidRPr="00670475">
          <w:rPr>
            <w:rStyle w:val="-"/>
            <w:rFonts w:ascii="Arial Narrow" w:hAnsi="Arial Narrow"/>
            <w:color w:val="D55705"/>
            <w:shd w:val="clear" w:color="auto" w:fill="FFFFFF"/>
            <w:lang w:val="en-US"/>
          </w:rPr>
          <w:t>hu</w:t>
        </w:r>
      </w:hyperlink>
    </w:p>
    <w:p w:rsidR="00361F53" w:rsidRDefault="00361F53" w:rsidP="004C7938">
      <w:pPr>
        <w:rPr>
          <w:rFonts w:ascii="Arial Narrow" w:hAnsi="Arial Narrow"/>
        </w:rPr>
      </w:pPr>
    </w:p>
    <w:p w:rsidR="00361F53" w:rsidRDefault="00361F53" w:rsidP="004C7938">
      <w:pPr>
        <w:rPr>
          <w:rFonts w:ascii="Arial Narrow" w:hAnsi="Arial Narrow"/>
        </w:rPr>
      </w:pPr>
    </w:p>
    <w:p w:rsidR="00361F53" w:rsidRDefault="00361F53" w:rsidP="004C7938">
      <w:pPr>
        <w:rPr>
          <w:rFonts w:ascii="Arial Narrow" w:hAnsi="Arial Narrow"/>
        </w:rPr>
      </w:pPr>
    </w:p>
    <w:p w:rsidR="00361F53" w:rsidRPr="004C7938" w:rsidRDefault="00361F53" w:rsidP="004C7938">
      <w:pPr>
        <w:rPr>
          <w:rFonts w:ascii="Arial Narrow" w:hAnsi="Arial Narrow" w:cs="Arial"/>
        </w:rPr>
      </w:pPr>
      <w:r w:rsidRPr="000763EC">
        <w:rPr>
          <w:rFonts w:ascii="Courier New" w:hAnsi="Courier New" w:cs="Courier New"/>
          <w:noProof/>
          <w:color w:val="333333"/>
          <w:sz w:val="15"/>
          <w:szCs w:val="15"/>
          <w:shd w:val="clear" w:color="auto" w:fill="FCFDFE"/>
          <w:lang w:eastAsia="zh-TW"/>
        </w:rPr>
        <w:pict>
          <v:shape id="_x0000_s1028" type="#_x0000_t202" style="position:absolute;margin-left:1.7pt;margin-top:82.7pt;width:475.1pt;height:117.55pt;z-index:251658752;mso-width-relative:margin;mso-height-relative:margin">
            <v:textbox>
              <w:txbxContent>
                <w:p w:rsidR="00104D75" w:rsidRDefault="00104D75" w:rsidP="008B01AD">
                  <w:pPr>
                    <w:jc w:val="center"/>
                    <w:rPr>
                      <w:rFonts w:ascii="Arial Narrow" w:hAnsi="Arial Narrow" w:cs="Courier New"/>
                      <w:color w:val="333333"/>
                      <w:shd w:val="clear" w:color="auto" w:fill="FCFDFE"/>
                    </w:rPr>
                  </w:pPr>
                  <w:r w:rsidRPr="000763EC">
                    <w:rPr>
                      <w:rFonts w:ascii="Arial Narrow" w:hAnsi="Arial Narrow" w:cs="Courier New"/>
                      <w:b/>
                      <w:color w:val="333333"/>
                      <w:u w:val="single"/>
                      <w:shd w:val="clear" w:color="auto" w:fill="FCFDFE"/>
                    </w:rPr>
                    <w:t>Αποποίηση Ευθύνης</w:t>
                  </w:r>
                </w:p>
                <w:p w:rsidR="00104D75" w:rsidRPr="000763EC" w:rsidRDefault="00104D75" w:rsidP="008B01AD">
                  <w:pPr>
                    <w:jc w:val="both"/>
                    <w:rPr>
                      <w:rFonts w:ascii="Arial Narrow" w:hAnsi="Arial Narrow"/>
                    </w:rPr>
                  </w:pPr>
                  <w:r w:rsidRPr="000763EC">
                    <w:rPr>
                      <w:rFonts w:ascii="Arial Narrow" w:hAnsi="Arial Narrow" w:cs="Courier New"/>
                      <w:color w:val="333333"/>
                      <w:shd w:val="clear" w:color="auto" w:fill="FCFDFE"/>
                    </w:rPr>
                    <w:t>Όλα τα στοιχεία που παρέχονται από το Γραφείο Οικονομικών και Εμπορικών Υποθέσεων (ΟΕΥ), προέρχονται από αξιόπιστες πηγές της χώρας διαπίστευσης. Τα στοιχεία αυτά δίδονται αυτούσια και καλόπιστα στους ενδιαφερομένους, με σκοπό την αρτιότερη πληροφόρησή τους. Στόχος του Γραφείου ΟΕΥ είναι η παροχή όσο το δυνατόν ακριβέστερης, πληρέστερης και πιο επικαιροποιημένης πληροφόρησης. Εντούτοις, η ευθύνη για τη χρήση των πληροφοριών αυτών, βαρύνει αποκλειστικά τους χρήστες.</w:t>
                  </w:r>
                </w:p>
              </w:txbxContent>
            </v:textbox>
          </v:shape>
        </w:pict>
      </w:r>
    </w:p>
    <w:sectPr w:rsidR="00361F53" w:rsidRPr="004C7938" w:rsidSect="003A0DFD">
      <w:footerReference w:type="default" r:id="rId21"/>
      <w:footerReference w:type="first" r:id="rId22"/>
      <w:pgSz w:w="11906" w:h="16838" w:code="9"/>
      <w:pgMar w:top="990" w:right="1134" w:bottom="810" w:left="1134" w:header="567" w:footer="36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856" w:rsidRDefault="00C70856" w:rsidP="008F0D0D">
      <w:r>
        <w:separator/>
      </w:r>
    </w:p>
  </w:endnote>
  <w:endnote w:type="continuationSeparator" w:id="0">
    <w:p w:rsidR="00C70856" w:rsidRDefault="00C70856" w:rsidP="008F0D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75" w:rsidRPr="00CA42B1" w:rsidRDefault="00104D75" w:rsidP="000F0564">
    <w:pPr>
      <w:pStyle w:val="a4"/>
      <w:jc w:val="center"/>
      <w:rPr>
        <w:rFonts w:ascii="Arial" w:hAnsi="Arial" w:cs="Arial"/>
      </w:rPr>
    </w:pPr>
    <w:r w:rsidRPr="00CA42B1">
      <w:rPr>
        <w:rFonts w:ascii="Arial" w:hAnsi="Arial" w:cs="Arial"/>
      </w:rPr>
      <w:t>___________________________________________</w:t>
    </w:r>
    <w:r>
      <w:rPr>
        <w:rFonts w:ascii="Arial" w:hAnsi="Arial" w:cs="Arial"/>
      </w:rPr>
      <w:t>_______________________</w:t>
    </w:r>
  </w:p>
  <w:p w:rsidR="00104D75" w:rsidRPr="00CA42B1" w:rsidRDefault="00104D75" w:rsidP="00F1744C">
    <w:pPr>
      <w:pStyle w:val="a4"/>
      <w:jc w:val="center"/>
      <w:rPr>
        <w:rFonts w:ascii="Arial" w:hAnsi="Arial" w:cs="Arial"/>
        <w:b/>
        <w:sz w:val="18"/>
        <w:szCs w:val="18"/>
        <w:lang w:val="en-US"/>
      </w:rPr>
    </w:pPr>
    <w:r>
      <w:rPr>
        <w:rFonts w:ascii="Arial" w:hAnsi="Arial" w:cs="Arial"/>
        <w:sz w:val="18"/>
        <w:szCs w:val="18"/>
      </w:rPr>
      <w:tab/>
    </w:r>
    <w:r>
      <w:rPr>
        <w:rFonts w:ascii="Arial" w:hAnsi="Arial" w:cs="Arial"/>
        <w:sz w:val="18"/>
        <w:szCs w:val="18"/>
      </w:rPr>
      <w:tab/>
    </w:r>
    <w:r w:rsidRPr="00CA42B1">
      <w:rPr>
        <w:rFonts w:ascii="Arial" w:hAnsi="Arial" w:cs="Arial"/>
        <w:sz w:val="18"/>
        <w:szCs w:val="18"/>
      </w:rPr>
      <w:t xml:space="preserve">Σελίδα </w:t>
    </w:r>
    <w:r w:rsidRPr="00CA42B1">
      <w:rPr>
        <w:rFonts w:ascii="Arial" w:hAnsi="Arial" w:cs="Arial"/>
        <w:b/>
        <w:sz w:val="18"/>
        <w:szCs w:val="18"/>
      </w:rPr>
      <w:fldChar w:fldCharType="begin"/>
    </w:r>
    <w:r w:rsidRPr="00CA42B1">
      <w:rPr>
        <w:rFonts w:ascii="Arial" w:hAnsi="Arial" w:cs="Arial"/>
        <w:b/>
        <w:sz w:val="18"/>
        <w:szCs w:val="18"/>
      </w:rPr>
      <w:instrText xml:space="preserve"> PAGE </w:instrText>
    </w:r>
    <w:r w:rsidRPr="00CA42B1">
      <w:rPr>
        <w:rFonts w:ascii="Arial" w:hAnsi="Arial" w:cs="Arial"/>
        <w:b/>
        <w:sz w:val="18"/>
        <w:szCs w:val="18"/>
      </w:rPr>
      <w:fldChar w:fldCharType="separate"/>
    </w:r>
    <w:r w:rsidR="004A7D2F">
      <w:rPr>
        <w:rFonts w:ascii="Arial" w:hAnsi="Arial" w:cs="Arial"/>
        <w:b/>
        <w:noProof/>
        <w:sz w:val="18"/>
        <w:szCs w:val="18"/>
      </w:rPr>
      <w:t>11</w:t>
    </w:r>
    <w:r w:rsidRPr="00CA42B1">
      <w:rPr>
        <w:rFonts w:ascii="Arial" w:hAnsi="Arial" w:cs="Arial"/>
        <w:b/>
        <w:sz w:val="18"/>
        <w:szCs w:val="18"/>
      </w:rPr>
      <w:fldChar w:fldCharType="end"/>
    </w:r>
    <w:r w:rsidRPr="00CA42B1">
      <w:rPr>
        <w:rFonts w:ascii="Arial" w:hAnsi="Arial" w:cs="Arial"/>
        <w:sz w:val="18"/>
        <w:szCs w:val="18"/>
      </w:rPr>
      <w:t xml:space="preserve"> από </w:t>
    </w:r>
    <w:r w:rsidRPr="00CA42B1">
      <w:rPr>
        <w:rFonts w:ascii="Arial" w:hAnsi="Arial" w:cs="Arial"/>
        <w:b/>
        <w:sz w:val="18"/>
        <w:szCs w:val="18"/>
      </w:rPr>
      <w:fldChar w:fldCharType="begin"/>
    </w:r>
    <w:r w:rsidRPr="00CA42B1">
      <w:rPr>
        <w:rFonts w:ascii="Arial" w:hAnsi="Arial" w:cs="Arial"/>
        <w:b/>
        <w:sz w:val="18"/>
        <w:szCs w:val="18"/>
      </w:rPr>
      <w:instrText xml:space="preserve"> NUMPAGES  </w:instrText>
    </w:r>
    <w:r w:rsidRPr="00CA42B1">
      <w:rPr>
        <w:rFonts w:ascii="Arial" w:hAnsi="Arial" w:cs="Arial"/>
        <w:b/>
        <w:sz w:val="18"/>
        <w:szCs w:val="18"/>
      </w:rPr>
      <w:fldChar w:fldCharType="separate"/>
    </w:r>
    <w:r w:rsidR="004A7D2F">
      <w:rPr>
        <w:rFonts w:ascii="Arial" w:hAnsi="Arial" w:cs="Arial"/>
        <w:b/>
        <w:noProof/>
        <w:sz w:val="18"/>
        <w:szCs w:val="18"/>
      </w:rPr>
      <w:t>11</w:t>
    </w:r>
    <w:r w:rsidRPr="00CA42B1">
      <w:rPr>
        <w:rFonts w:ascii="Arial" w:hAnsi="Arial" w:cs="Arial"/>
        <w:b/>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D75" w:rsidRPr="00D6719B" w:rsidRDefault="00104D75" w:rsidP="000F0564">
    <w:pPr>
      <w:pStyle w:val="a4"/>
      <w:jc w:val="center"/>
      <w:rPr>
        <w:rFonts w:ascii="Arial" w:hAnsi="Arial" w:cs="Arial"/>
        <w:sz w:val="8"/>
        <w:lang w:val="en-US"/>
      </w:rPr>
    </w:pPr>
    <w:r w:rsidRPr="00D6719B">
      <w:rPr>
        <w:rFonts w:ascii="Arial" w:hAnsi="Arial" w:cs="Arial"/>
        <w:sz w:val="8"/>
        <w:lang w:val="en-US"/>
      </w:rPr>
      <w:t>________</w:t>
    </w:r>
    <w:r>
      <w:rPr>
        <w:rFonts w:ascii="Arial" w:hAnsi="Arial" w:cs="Arial"/>
        <w:sz w:val="8"/>
      </w:rPr>
      <w:t>___________________</w:t>
    </w:r>
    <w:r w:rsidRPr="00D6719B">
      <w:rPr>
        <w:rFonts w:ascii="Arial" w:hAnsi="Arial" w:cs="Arial"/>
        <w:sz w:val="8"/>
      </w:rPr>
      <w:t>______________________________</w:t>
    </w:r>
    <w:r>
      <w:rPr>
        <w:rFonts w:ascii="Arial" w:hAnsi="Arial" w:cs="Arial"/>
        <w:sz w:val="8"/>
        <w:lang w:val="en-US"/>
      </w:rPr>
      <w:t>_______________________________________________________________________________________________________________________________________________</w:t>
    </w:r>
  </w:p>
  <w:p w:rsidR="00104D75" w:rsidRPr="008F0D0D" w:rsidRDefault="00104D75" w:rsidP="000F0564">
    <w:pPr>
      <w:pStyle w:val="a4"/>
      <w:jc w:val="center"/>
      <w:rPr>
        <w:rFonts w:ascii="Arial" w:hAnsi="Arial" w:cs="Arial"/>
        <w:b/>
      </w:rPr>
    </w:pPr>
    <w:permStart w:id="0" w:edGrp="everyone" w:colFirst="1" w:colLast="1"/>
    <w:r>
      <w:rPr>
        <w:rFonts w:ascii="Arial" w:hAnsi="Arial" w:cs="Arial"/>
        <w:b/>
      </w:rPr>
      <w:t>ΑΔΙΑΒΑΘΜΗΤΟ</w:t>
    </w:r>
    <w:perm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856" w:rsidRDefault="00C70856" w:rsidP="008F0D0D">
      <w:r>
        <w:separator/>
      </w:r>
    </w:p>
  </w:footnote>
  <w:footnote w:type="continuationSeparator" w:id="0">
    <w:p w:rsidR="00C70856" w:rsidRDefault="00C70856" w:rsidP="008F0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204F"/>
    <w:multiLevelType w:val="hybridMultilevel"/>
    <w:tmpl w:val="5838C7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2E9C523F"/>
    <w:multiLevelType w:val="hybridMultilevel"/>
    <w:tmpl w:val="578E7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8757A"/>
    <w:multiLevelType w:val="hybridMultilevel"/>
    <w:tmpl w:val="26A8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D48A9"/>
    <w:multiLevelType w:val="hybridMultilevel"/>
    <w:tmpl w:val="384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97416"/>
    <w:multiLevelType w:val="hybridMultilevel"/>
    <w:tmpl w:val="8E503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6F6461"/>
    <w:multiLevelType w:val="hybridMultilevel"/>
    <w:tmpl w:val="50344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0"/>
    <w:lvlOverride w:ilvl="0"/>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footnotePr>
    <w:footnote w:id="-1"/>
    <w:footnote w:id="0"/>
  </w:footnotePr>
  <w:endnotePr>
    <w:endnote w:id="-1"/>
    <w:endnote w:id="0"/>
  </w:endnotePr>
  <w:compat/>
  <w:rsids>
    <w:rsidRoot w:val="008F0D0D"/>
    <w:rsid w:val="000012C7"/>
    <w:rsid w:val="00003063"/>
    <w:rsid w:val="00014F25"/>
    <w:rsid w:val="00034973"/>
    <w:rsid w:val="0003519B"/>
    <w:rsid w:val="00035EA0"/>
    <w:rsid w:val="00036C6D"/>
    <w:rsid w:val="00043848"/>
    <w:rsid w:val="00044E81"/>
    <w:rsid w:val="000556E5"/>
    <w:rsid w:val="00071AE0"/>
    <w:rsid w:val="0007768B"/>
    <w:rsid w:val="000A0C90"/>
    <w:rsid w:val="000A373E"/>
    <w:rsid w:val="000A39EE"/>
    <w:rsid w:val="000B196B"/>
    <w:rsid w:val="000D5354"/>
    <w:rsid w:val="000F0564"/>
    <w:rsid w:val="000F27DC"/>
    <w:rsid w:val="000F799E"/>
    <w:rsid w:val="00102510"/>
    <w:rsid w:val="00104D75"/>
    <w:rsid w:val="001267D2"/>
    <w:rsid w:val="00130531"/>
    <w:rsid w:val="00140451"/>
    <w:rsid w:val="00142CEE"/>
    <w:rsid w:val="0015350C"/>
    <w:rsid w:val="00156AB6"/>
    <w:rsid w:val="00173D77"/>
    <w:rsid w:val="00180CE4"/>
    <w:rsid w:val="00194276"/>
    <w:rsid w:val="001A2676"/>
    <w:rsid w:val="001A77B9"/>
    <w:rsid w:val="001B300C"/>
    <w:rsid w:val="001F0C28"/>
    <w:rsid w:val="001F1150"/>
    <w:rsid w:val="001F5A00"/>
    <w:rsid w:val="0020734A"/>
    <w:rsid w:val="00207C3F"/>
    <w:rsid w:val="002240F7"/>
    <w:rsid w:val="00231790"/>
    <w:rsid w:val="00241B75"/>
    <w:rsid w:val="00246CDA"/>
    <w:rsid w:val="00253226"/>
    <w:rsid w:val="002578AD"/>
    <w:rsid w:val="00261DD0"/>
    <w:rsid w:val="00264155"/>
    <w:rsid w:val="002661DC"/>
    <w:rsid w:val="002707BE"/>
    <w:rsid w:val="002722AD"/>
    <w:rsid w:val="00280024"/>
    <w:rsid w:val="002A1800"/>
    <w:rsid w:val="002B2826"/>
    <w:rsid w:val="002B2D8B"/>
    <w:rsid w:val="002C5F85"/>
    <w:rsid w:val="002D2C0E"/>
    <w:rsid w:val="003016AA"/>
    <w:rsid w:val="00305485"/>
    <w:rsid w:val="0030599E"/>
    <w:rsid w:val="003205C8"/>
    <w:rsid w:val="00340480"/>
    <w:rsid w:val="00346280"/>
    <w:rsid w:val="0035088C"/>
    <w:rsid w:val="0036029B"/>
    <w:rsid w:val="00361271"/>
    <w:rsid w:val="00361F53"/>
    <w:rsid w:val="003800BF"/>
    <w:rsid w:val="003904E5"/>
    <w:rsid w:val="003A0DFD"/>
    <w:rsid w:val="003B04B2"/>
    <w:rsid w:val="003B4BA9"/>
    <w:rsid w:val="003C3D93"/>
    <w:rsid w:val="003C5A3E"/>
    <w:rsid w:val="003D31E7"/>
    <w:rsid w:val="003D6859"/>
    <w:rsid w:val="003F7557"/>
    <w:rsid w:val="00404304"/>
    <w:rsid w:val="00412DED"/>
    <w:rsid w:val="00413F32"/>
    <w:rsid w:val="004200EB"/>
    <w:rsid w:val="0042183C"/>
    <w:rsid w:val="0043058D"/>
    <w:rsid w:val="00446CEA"/>
    <w:rsid w:val="00470192"/>
    <w:rsid w:val="00471402"/>
    <w:rsid w:val="00490543"/>
    <w:rsid w:val="004A6D6D"/>
    <w:rsid w:val="004A7D2F"/>
    <w:rsid w:val="004C7938"/>
    <w:rsid w:val="004D3F5E"/>
    <w:rsid w:val="004F76B0"/>
    <w:rsid w:val="00501EA7"/>
    <w:rsid w:val="00524F5B"/>
    <w:rsid w:val="00535084"/>
    <w:rsid w:val="005573F4"/>
    <w:rsid w:val="00557587"/>
    <w:rsid w:val="005645BE"/>
    <w:rsid w:val="005722A2"/>
    <w:rsid w:val="0057255C"/>
    <w:rsid w:val="00590DC1"/>
    <w:rsid w:val="005A0FD9"/>
    <w:rsid w:val="005A6BEE"/>
    <w:rsid w:val="005B1A44"/>
    <w:rsid w:val="005D1F78"/>
    <w:rsid w:val="005D2968"/>
    <w:rsid w:val="005D2F14"/>
    <w:rsid w:val="005D40C0"/>
    <w:rsid w:val="005E0773"/>
    <w:rsid w:val="005E4265"/>
    <w:rsid w:val="005E4B06"/>
    <w:rsid w:val="005E511B"/>
    <w:rsid w:val="005F6629"/>
    <w:rsid w:val="005F7608"/>
    <w:rsid w:val="0060712E"/>
    <w:rsid w:val="00607601"/>
    <w:rsid w:val="00611E03"/>
    <w:rsid w:val="00621064"/>
    <w:rsid w:val="00625AA9"/>
    <w:rsid w:val="006370DE"/>
    <w:rsid w:val="0063758A"/>
    <w:rsid w:val="00644603"/>
    <w:rsid w:val="00661C2F"/>
    <w:rsid w:val="006629B4"/>
    <w:rsid w:val="0066784F"/>
    <w:rsid w:val="00682258"/>
    <w:rsid w:val="00685EA4"/>
    <w:rsid w:val="00687E7D"/>
    <w:rsid w:val="006915A8"/>
    <w:rsid w:val="006939E1"/>
    <w:rsid w:val="00696A60"/>
    <w:rsid w:val="006A4F18"/>
    <w:rsid w:val="006A68C1"/>
    <w:rsid w:val="006A6A27"/>
    <w:rsid w:val="006B5437"/>
    <w:rsid w:val="006D746F"/>
    <w:rsid w:val="006F46F5"/>
    <w:rsid w:val="006F64CF"/>
    <w:rsid w:val="00732351"/>
    <w:rsid w:val="00742BE2"/>
    <w:rsid w:val="00752928"/>
    <w:rsid w:val="00776ABF"/>
    <w:rsid w:val="0078262B"/>
    <w:rsid w:val="00794A2E"/>
    <w:rsid w:val="0079796A"/>
    <w:rsid w:val="007A6A79"/>
    <w:rsid w:val="007A6EED"/>
    <w:rsid w:val="007B3ADE"/>
    <w:rsid w:val="007E0648"/>
    <w:rsid w:val="007E378F"/>
    <w:rsid w:val="007E6784"/>
    <w:rsid w:val="007F0F5E"/>
    <w:rsid w:val="007F1209"/>
    <w:rsid w:val="00815F6F"/>
    <w:rsid w:val="00817F62"/>
    <w:rsid w:val="00825ED7"/>
    <w:rsid w:val="00837177"/>
    <w:rsid w:val="00837B0F"/>
    <w:rsid w:val="008534E5"/>
    <w:rsid w:val="00863A75"/>
    <w:rsid w:val="00865591"/>
    <w:rsid w:val="0087362B"/>
    <w:rsid w:val="00874EDC"/>
    <w:rsid w:val="008809B9"/>
    <w:rsid w:val="008814BB"/>
    <w:rsid w:val="00881ED0"/>
    <w:rsid w:val="00886D18"/>
    <w:rsid w:val="00893D55"/>
    <w:rsid w:val="00897632"/>
    <w:rsid w:val="008A49C1"/>
    <w:rsid w:val="008B01AD"/>
    <w:rsid w:val="008C7394"/>
    <w:rsid w:val="008D7398"/>
    <w:rsid w:val="008F0D0D"/>
    <w:rsid w:val="008F3A1F"/>
    <w:rsid w:val="009002D8"/>
    <w:rsid w:val="00912E8F"/>
    <w:rsid w:val="00920BE2"/>
    <w:rsid w:val="00932D9D"/>
    <w:rsid w:val="0096104A"/>
    <w:rsid w:val="00980398"/>
    <w:rsid w:val="0098297B"/>
    <w:rsid w:val="00986284"/>
    <w:rsid w:val="009960D9"/>
    <w:rsid w:val="00996A7E"/>
    <w:rsid w:val="0099736B"/>
    <w:rsid w:val="009A361B"/>
    <w:rsid w:val="009B03DC"/>
    <w:rsid w:val="009B0AAB"/>
    <w:rsid w:val="009B73D7"/>
    <w:rsid w:val="009C3702"/>
    <w:rsid w:val="009C504E"/>
    <w:rsid w:val="009C5E28"/>
    <w:rsid w:val="009D12AD"/>
    <w:rsid w:val="009D38E9"/>
    <w:rsid w:val="009E22BE"/>
    <w:rsid w:val="009E3B95"/>
    <w:rsid w:val="009E7D34"/>
    <w:rsid w:val="00A00132"/>
    <w:rsid w:val="00A01C65"/>
    <w:rsid w:val="00A146AF"/>
    <w:rsid w:val="00A16166"/>
    <w:rsid w:val="00A26BE9"/>
    <w:rsid w:val="00A33669"/>
    <w:rsid w:val="00A352CC"/>
    <w:rsid w:val="00A43762"/>
    <w:rsid w:val="00A5121C"/>
    <w:rsid w:val="00A542CF"/>
    <w:rsid w:val="00A65A7F"/>
    <w:rsid w:val="00A763F0"/>
    <w:rsid w:val="00A85411"/>
    <w:rsid w:val="00A87278"/>
    <w:rsid w:val="00A90B25"/>
    <w:rsid w:val="00AA36D6"/>
    <w:rsid w:val="00AA4930"/>
    <w:rsid w:val="00AB203C"/>
    <w:rsid w:val="00AB62AB"/>
    <w:rsid w:val="00AC0537"/>
    <w:rsid w:val="00AC1989"/>
    <w:rsid w:val="00AD7223"/>
    <w:rsid w:val="00AD7F30"/>
    <w:rsid w:val="00AE122A"/>
    <w:rsid w:val="00AE1701"/>
    <w:rsid w:val="00AE7481"/>
    <w:rsid w:val="00AF5394"/>
    <w:rsid w:val="00B00823"/>
    <w:rsid w:val="00B01D9B"/>
    <w:rsid w:val="00B065D8"/>
    <w:rsid w:val="00B23120"/>
    <w:rsid w:val="00B247B9"/>
    <w:rsid w:val="00B24FDE"/>
    <w:rsid w:val="00B25F70"/>
    <w:rsid w:val="00B329AA"/>
    <w:rsid w:val="00B420C2"/>
    <w:rsid w:val="00B443C2"/>
    <w:rsid w:val="00B527C3"/>
    <w:rsid w:val="00B57EB2"/>
    <w:rsid w:val="00B635A6"/>
    <w:rsid w:val="00B64D84"/>
    <w:rsid w:val="00B7257F"/>
    <w:rsid w:val="00B73998"/>
    <w:rsid w:val="00B8191D"/>
    <w:rsid w:val="00B838E5"/>
    <w:rsid w:val="00B9012E"/>
    <w:rsid w:val="00B90679"/>
    <w:rsid w:val="00B95F64"/>
    <w:rsid w:val="00BA1B23"/>
    <w:rsid w:val="00BA3F9B"/>
    <w:rsid w:val="00BA7614"/>
    <w:rsid w:val="00BB497F"/>
    <w:rsid w:val="00BC701F"/>
    <w:rsid w:val="00BD3ACF"/>
    <w:rsid w:val="00BD74F7"/>
    <w:rsid w:val="00BE3A44"/>
    <w:rsid w:val="00BF606A"/>
    <w:rsid w:val="00BF7791"/>
    <w:rsid w:val="00C033B8"/>
    <w:rsid w:val="00C04093"/>
    <w:rsid w:val="00C129CA"/>
    <w:rsid w:val="00C2149C"/>
    <w:rsid w:val="00C24F0B"/>
    <w:rsid w:val="00C47269"/>
    <w:rsid w:val="00C52CF9"/>
    <w:rsid w:val="00C640AC"/>
    <w:rsid w:val="00C70856"/>
    <w:rsid w:val="00C75DAB"/>
    <w:rsid w:val="00C93370"/>
    <w:rsid w:val="00C96225"/>
    <w:rsid w:val="00CA7A80"/>
    <w:rsid w:val="00CB21D0"/>
    <w:rsid w:val="00CB3B07"/>
    <w:rsid w:val="00CB7774"/>
    <w:rsid w:val="00CC2759"/>
    <w:rsid w:val="00CC44F6"/>
    <w:rsid w:val="00CD65D4"/>
    <w:rsid w:val="00CE4513"/>
    <w:rsid w:val="00CE4C2F"/>
    <w:rsid w:val="00CE500A"/>
    <w:rsid w:val="00CF13D0"/>
    <w:rsid w:val="00CF1944"/>
    <w:rsid w:val="00D04B5C"/>
    <w:rsid w:val="00D15264"/>
    <w:rsid w:val="00D25519"/>
    <w:rsid w:val="00D35E88"/>
    <w:rsid w:val="00D43BA9"/>
    <w:rsid w:val="00D51CA4"/>
    <w:rsid w:val="00D66A65"/>
    <w:rsid w:val="00D94B5C"/>
    <w:rsid w:val="00DB674C"/>
    <w:rsid w:val="00DC56B6"/>
    <w:rsid w:val="00DD65FB"/>
    <w:rsid w:val="00DE157C"/>
    <w:rsid w:val="00DE4DA9"/>
    <w:rsid w:val="00DF5A3A"/>
    <w:rsid w:val="00DF79AB"/>
    <w:rsid w:val="00E04D44"/>
    <w:rsid w:val="00E15B76"/>
    <w:rsid w:val="00E24076"/>
    <w:rsid w:val="00E310B4"/>
    <w:rsid w:val="00E328DD"/>
    <w:rsid w:val="00E47B37"/>
    <w:rsid w:val="00E6599B"/>
    <w:rsid w:val="00E76360"/>
    <w:rsid w:val="00E81EFF"/>
    <w:rsid w:val="00E82C3A"/>
    <w:rsid w:val="00EA465D"/>
    <w:rsid w:val="00EA6FBD"/>
    <w:rsid w:val="00EC47EB"/>
    <w:rsid w:val="00EC5D41"/>
    <w:rsid w:val="00ED1B38"/>
    <w:rsid w:val="00ED378A"/>
    <w:rsid w:val="00ED74A3"/>
    <w:rsid w:val="00EE3DF2"/>
    <w:rsid w:val="00F04F30"/>
    <w:rsid w:val="00F07360"/>
    <w:rsid w:val="00F07E5E"/>
    <w:rsid w:val="00F12C3F"/>
    <w:rsid w:val="00F14BEE"/>
    <w:rsid w:val="00F1744C"/>
    <w:rsid w:val="00F241B2"/>
    <w:rsid w:val="00F3308F"/>
    <w:rsid w:val="00F50732"/>
    <w:rsid w:val="00F613E8"/>
    <w:rsid w:val="00F621DF"/>
    <w:rsid w:val="00F77CF3"/>
    <w:rsid w:val="00F842B1"/>
    <w:rsid w:val="00F9145E"/>
    <w:rsid w:val="00FB4BC6"/>
    <w:rsid w:val="00FC03CB"/>
    <w:rsid w:val="00FC31F1"/>
    <w:rsid w:val="00FC7399"/>
    <w:rsid w:val="00FD2749"/>
    <w:rsid w:val="00FD540F"/>
    <w:rsid w:val="00FF60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D0D"/>
    <w:rPr>
      <w:rFonts w:ascii="Times New Roman" w:eastAsia="Times New Roman" w:hAnsi="Times New Roman"/>
      <w:sz w:val="24"/>
      <w:szCs w:val="24"/>
    </w:rPr>
  </w:style>
  <w:style w:type="paragraph" w:styleId="1">
    <w:name w:val="heading 1"/>
    <w:basedOn w:val="a"/>
    <w:next w:val="a"/>
    <w:link w:val="1Char"/>
    <w:uiPriority w:val="9"/>
    <w:qFormat/>
    <w:rsid w:val="00471402"/>
    <w:pPr>
      <w:keepNext/>
      <w:spacing w:before="240" w:after="60"/>
      <w:outlineLvl w:val="0"/>
    </w:pPr>
    <w:rPr>
      <w:rFonts w:ascii="Cambria" w:hAnsi="Cambria"/>
      <w:b/>
      <w:bCs/>
      <w:kern w:val="32"/>
      <w:sz w:val="32"/>
      <w:szCs w:val="32"/>
    </w:rPr>
  </w:style>
  <w:style w:type="paragraph" w:styleId="4">
    <w:name w:val="heading 4"/>
    <w:basedOn w:val="a"/>
    <w:next w:val="a"/>
    <w:link w:val="4Char"/>
    <w:uiPriority w:val="9"/>
    <w:unhideWhenUsed/>
    <w:qFormat/>
    <w:rsid w:val="008B01A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F0D0D"/>
    <w:pPr>
      <w:tabs>
        <w:tab w:val="center" w:pos="4320"/>
        <w:tab w:val="right" w:pos="8640"/>
      </w:tabs>
    </w:pPr>
  </w:style>
  <w:style w:type="character" w:customStyle="1" w:styleId="Char">
    <w:name w:val="Κεφαλίδα Char"/>
    <w:basedOn w:val="a0"/>
    <w:link w:val="a3"/>
    <w:rsid w:val="008F0D0D"/>
    <w:rPr>
      <w:rFonts w:ascii="Times New Roman" w:eastAsia="Times New Roman" w:hAnsi="Times New Roman" w:cs="Times New Roman"/>
      <w:sz w:val="24"/>
      <w:szCs w:val="24"/>
      <w:lang w:val="el-GR" w:eastAsia="el-GR"/>
    </w:rPr>
  </w:style>
  <w:style w:type="paragraph" w:styleId="a4">
    <w:name w:val="footer"/>
    <w:basedOn w:val="a"/>
    <w:link w:val="Char0"/>
    <w:uiPriority w:val="99"/>
    <w:unhideWhenUsed/>
    <w:rsid w:val="008F0D0D"/>
    <w:pPr>
      <w:tabs>
        <w:tab w:val="center" w:pos="4320"/>
        <w:tab w:val="right" w:pos="8640"/>
      </w:tabs>
    </w:pPr>
  </w:style>
  <w:style w:type="character" w:customStyle="1" w:styleId="Char0">
    <w:name w:val="Υποσέλιδο Char"/>
    <w:basedOn w:val="a0"/>
    <w:link w:val="a4"/>
    <w:uiPriority w:val="99"/>
    <w:rsid w:val="008F0D0D"/>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8F0D0D"/>
    <w:pPr>
      <w:spacing w:before="100" w:beforeAutospacing="1" w:after="100" w:afterAutospacing="1"/>
    </w:pPr>
    <w:rPr>
      <w:lang w:val="hu-HU" w:eastAsia="hu-HU"/>
    </w:rPr>
  </w:style>
  <w:style w:type="paragraph" w:styleId="a5">
    <w:name w:val="Balloon Text"/>
    <w:basedOn w:val="a"/>
    <w:link w:val="Char1"/>
    <w:uiPriority w:val="99"/>
    <w:semiHidden/>
    <w:unhideWhenUsed/>
    <w:rsid w:val="008F0D0D"/>
    <w:rPr>
      <w:rFonts w:ascii="Tahoma" w:hAnsi="Tahoma" w:cs="Tahoma"/>
      <w:sz w:val="16"/>
      <w:szCs w:val="16"/>
    </w:rPr>
  </w:style>
  <w:style w:type="character" w:customStyle="1" w:styleId="Char1">
    <w:name w:val="Κείμενο πλαισίου Char"/>
    <w:basedOn w:val="a0"/>
    <w:link w:val="a5"/>
    <w:uiPriority w:val="99"/>
    <w:semiHidden/>
    <w:rsid w:val="008F0D0D"/>
    <w:rPr>
      <w:rFonts w:ascii="Tahoma" w:eastAsia="Times New Roman" w:hAnsi="Tahoma" w:cs="Tahoma"/>
      <w:sz w:val="16"/>
      <w:szCs w:val="16"/>
      <w:lang w:val="el-GR" w:eastAsia="el-GR"/>
    </w:rPr>
  </w:style>
  <w:style w:type="table" w:styleId="a6">
    <w:name w:val="Table Grid"/>
    <w:basedOn w:val="a1"/>
    <w:uiPriority w:val="59"/>
    <w:rsid w:val="00815F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List1">
    <w:name w:val="Medium List 1"/>
    <w:basedOn w:val="a1"/>
    <w:uiPriority w:val="65"/>
    <w:rsid w:val="00E6599B"/>
    <w:rPr>
      <w:color w:val="000000"/>
      <w:sz w:val="22"/>
      <w:szCs w:val="22"/>
      <w:lang w:val="hu-H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
    <w:name w:val="Light Shading"/>
    <w:basedOn w:val="a1"/>
    <w:uiPriority w:val="60"/>
    <w:rsid w:val="00E82C3A"/>
    <w:rPr>
      <w:color w:val="000000"/>
      <w:sz w:val="22"/>
      <w:szCs w:val="22"/>
      <w:lang w:val="hu-H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Char">
    <w:name w:val="Επικεφαλίδα 1 Char"/>
    <w:basedOn w:val="a0"/>
    <w:link w:val="1"/>
    <w:uiPriority w:val="9"/>
    <w:rsid w:val="00471402"/>
    <w:rPr>
      <w:rFonts w:ascii="Cambria" w:eastAsia="Times New Roman" w:hAnsi="Cambria" w:cs="Times New Roman"/>
      <w:b/>
      <w:bCs/>
      <w:kern w:val="32"/>
      <w:sz w:val="32"/>
      <w:szCs w:val="32"/>
      <w:lang w:val="el-GR" w:eastAsia="el-GR"/>
    </w:rPr>
  </w:style>
  <w:style w:type="paragraph" w:styleId="a7">
    <w:name w:val="TOC Heading"/>
    <w:basedOn w:val="1"/>
    <w:next w:val="a"/>
    <w:uiPriority w:val="39"/>
    <w:semiHidden/>
    <w:unhideWhenUsed/>
    <w:qFormat/>
    <w:rsid w:val="00471402"/>
    <w:pPr>
      <w:keepLines/>
      <w:spacing w:before="480" w:after="0" w:line="276" w:lineRule="auto"/>
      <w:outlineLvl w:val="9"/>
    </w:pPr>
    <w:rPr>
      <w:color w:val="365F91"/>
      <w:kern w:val="0"/>
      <w:sz w:val="28"/>
      <w:szCs w:val="28"/>
      <w:lang w:val="en-US" w:eastAsia="en-US"/>
    </w:rPr>
  </w:style>
  <w:style w:type="paragraph" w:styleId="10">
    <w:name w:val="toc 1"/>
    <w:basedOn w:val="a"/>
    <w:next w:val="a"/>
    <w:autoRedefine/>
    <w:uiPriority w:val="39"/>
    <w:unhideWhenUsed/>
    <w:rsid w:val="00471402"/>
  </w:style>
  <w:style w:type="character" w:styleId="-">
    <w:name w:val="Hyperlink"/>
    <w:basedOn w:val="a0"/>
    <w:uiPriority w:val="99"/>
    <w:unhideWhenUsed/>
    <w:rsid w:val="00471402"/>
    <w:rPr>
      <w:color w:val="0000FF"/>
      <w:u w:val="single"/>
    </w:rPr>
  </w:style>
  <w:style w:type="character" w:customStyle="1" w:styleId="object">
    <w:name w:val="object"/>
    <w:basedOn w:val="a0"/>
    <w:rsid w:val="00837B0F"/>
  </w:style>
  <w:style w:type="paragraph" w:customStyle="1" w:styleId="lead">
    <w:name w:val="lead"/>
    <w:basedOn w:val="a"/>
    <w:rsid w:val="006F46F5"/>
    <w:pPr>
      <w:spacing w:before="100" w:beforeAutospacing="1" w:after="100" w:afterAutospacing="1"/>
    </w:pPr>
    <w:rPr>
      <w:lang w:val="en-US" w:eastAsia="en-US"/>
    </w:rPr>
  </w:style>
  <w:style w:type="character" w:styleId="a8">
    <w:name w:val="Strong"/>
    <w:basedOn w:val="a0"/>
    <w:uiPriority w:val="22"/>
    <w:qFormat/>
    <w:rsid w:val="00EC47EB"/>
    <w:rPr>
      <w:b/>
      <w:bCs/>
    </w:rPr>
  </w:style>
  <w:style w:type="paragraph" w:styleId="a9">
    <w:name w:val="Body Text"/>
    <w:basedOn w:val="a"/>
    <w:link w:val="Char2"/>
    <w:uiPriority w:val="99"/>
    <w:unhideWhenUsed/>
    <w:rsid w:val="00044E81"/>
    <w:pPr>
      <w:spacing w:after="120"/>
    </w:pPr>
  </w:style>
  <w:style w:type="character" w:customStyle="1" w:styleId="Char2">
    <w:name w:val="Σώμα κειμένου Char"/>
    <w:basedOn w:val="a0"/>
    <w:link w:val="a9"/>
    <w:uiPriority w:val="99"/>
    <w:rsid w:val="00044E81"/>
    <w:rPr>
      <w:rFonts w:ascii="Times New Roman" w:eastAsia="Times New Roman" w:hAnsi="Times New Roman"/>
      <w:sz w:val="24"/>
      <w:szCs w:val="24"/>
      <w:lang w:val="el-GR" w:eastAsia="el-GR"/>
    </w:rPr>
  </w:style>
  <w:style w:type="character" w:customStyle="1" w:styleId="4Char">
    <w:name w:val="Επικεφαλίδα 4 Char"/>
    <w:basedOn w:val="a0"/>
    <w:link w:val="4"/>
    <w:rsid w:val="008B01AD"/>
    <w:rPr>
      <w:rFonts w:ascii="Calibri" w:eastAsia="Times New Roman" w:hAnsi="Calibri" w:cs="Times New Roman"/>
      <w:b/>
      <w:bCs/>
      <w:sz w:val="28"/>
      <w:szCs w:val="28"/>
      <w:lang w:val="el-GR" w:eastAsia="el-GR"/>
    </w:rPr>
  </w:style>
  <w:style w:type="paragraph" w:styleId="aa">
    <w:name w:val="List Paragraph"/>
    <w:basedOn w:val="a"/>
    <w:uiPriority w:val="34"/>
    <w:qFormat/>
    <w:rsid w:val="008B01AD"/>
    <w:pPr>
      <w:ind w:left="720"/>
      <w:contextualSpacing/>
    </w:pPr>
    <w:rPr>
      <w:rFonts w:eastAsia="MS Mincho"/>
    </w:rPr>
  </w:style>
  <w:style w:type="character" w:customStyle="1" w:styleId="apple-converted-space">
    <w:name w:val="apple-converted-space"/>
    <w:basedOn w:val="a0"/>
    <w:rsid w:val="008B01AD"/>
  </w:style>
  <w:style w:type="character" w:customStyle="1" w:styleId="object-active">
    <w:name w:val="object-active"/>
    <w:basedOn w:val="a0"/>
    <w:rsid w:val="00361F53"/>
  </w:style>
  <w:style w:type="character" w:styleId="-0">
    <w:name w:val="FollowedHyperlink"/>
    <w:basedOn w:val="a0"/>
    <w:uiPriority w:val="99"/>
    <w:semiHidden/>
    <w:unhideWhenUsed/>
    <w:rsid w:val="00C640AC"/>
    <w:rPr>
      <w:color w:val="800080"/>
      <w:u w:val="single"/>
    </w:rPr>
  </w:style>
</w:styles>
</file>

<file path=word/webSettings.xml><?xml version="1.0" encoding="utf-8"?>
<w:webSettings xmlns:r="http://schemas.openxmlformats.org/officeDocument/2006/relationships" xmlns:w="http://schemas.openxmlformats.org/wordprocessingml/2006/main">
  <w:divs>
    <w:div w:id="195580249">
      <w:bodyDiv w:val="1"/>
      <w:marLeft w:val="0"/>
      <w:marRight w:val="0"/>
      <w:marTop w:val="0"/>
      <w:marBottom w:val="0"/>
      <w:divBdr>
        <w:top w:val="none" w:sz="0" w:space="0" w:color="auto"/>
        <w:left w:val="none" w:sz="0" w:space="0" w:color="auto"/>
        <w:bottom w:val="none" w:sz="0" w:space="0" w:color="auto"/>
        <w:right w:val="none" w:sz="0" w:space="0" w:color="auto"/>
      </w:divBdr>
    </w:div>
    <w:div w:id="211036535">
      <w:bodyDiv w:val="1"/>
      <w:marLeft w:val="0"/>
      <w:marRight w:val="0"/>
      <w:marTop w:val="0"/>
      <w:marBottom w:val="0"/>
      <w:divBdr>
        <w:top w:val="none" w:sz="0" w:space="0" w:color="auto"/>
        <w:left w:val="none" w:sz="0" w:space="0" w:color="auto"/>
        <w:bottom w:val="none" w:sz="0" w:space="0" w:color="auto"/>
        <w:right w:val="none" w:sz="0" w:space="0" w:color="auto"/>
      </w:divBdr>
    </w:div>
    <w:div w:id="729765360">
      <w:bodyDiv w:val="1"/>
      <w:marLeft w:val="0"/>
      <w:marRight w:val="0"/>
      <w:marTop w:val="0"/>
      <w:marBottom w:val="0"/>
      <w:divBdr>
        <w:top w:val="none" w:sz="0" w:space="0" w:color="auto"/>
        <w:left w:val="none" w:sz="0" w:space="0" w:color="auto"/>
        <w:bottom w:val="none" w:sz="0" w:space="0" w:color="auto"/>
        <w:right w:val="none" w:sz="0" w:space="0" w:color="auto"/>
      </w:divBdr>
    </w:div>
    <w:div w:id="1668632260">
      <w:bodyDiv w:val="1"/>
      <w:marLeft w:val="0"/>
      <w:marRight w:val="0"/>
      <w:marTop w:val="0"/>
      <w:marBottom w:val="0"/>
      <w:divBdr>
        <w:top w:val="none" w:sz="0" w:space="0" w:color="auto"/>
        <w:left w:val="none" w:sz="0" w:space="0" w:color="auto"/>
        <w:bottom w:val="none" w:sz="0" w:space="0" w:color="auto"/>
        <w:right w:val="none" w:sz="0" w:space="0" w:color="auto"/>
      </w:divBdr>
    </w:div>
    <w:div w:id="1934780171">
      <w:bodyDiv w:val="1"/>
      <w:marLeft w:val="0"/>
      <w:marRight w:val="0"/>
      <w:marTop w:val="0"/>
      <w:marBottom w:val="0"/>
      <w:divBdr>
        <w:top w:val="none" w:sz="0" w:space="0" w:color="auto"/>
        <w:left w:val="none" w:sz="0" w:space="0" w:color="auto"/>
        <w:bottom w:val="none" w:sz="0" w:space="0" w:color="auto"/>
        <w:right w:val="none" w:sz="0" w:space="0" w:color="auto"/>
      </w:divBdr>
    </w:div>
    <w:div w:id="2120449942">
      <w:bodyDiv w:val="1"/>
      <w:marLeft w:val="0"/>
      <w:marRight w:val="0"/>
      <w:marTop w:val="0"/>
      <w:marBottom w:val="0"/>
      <w:divBdr>
        <w:top w:val="none" w:sz="0" w:space="0" w:color="auto"/>
        <w:left w:val="none" w:sz="0" w:space="0" w:color="auto"/>
        <w:bottom w:val="none" w:sz="0" w:space="0" w:color="auto"/>
        <w:right w:val="none" w:sz="0" w:space="0" w:color="auto"/>
      </w:divBdr>
    </w:div>
    <w:div w:id="2141217946">
      <w:bodyDiv w:val="1"/>
      <w:marLeft w:val="0"/>
      <w:marRight w:val="0"/>
      <w:marTop w:val="0"/>
      <w:marBottom w:val="0"/>
      <w:divBdr>
        <w:top w:val="none" w:sz="0" w:space="0" w:color="auto"/>
        <w:left w:val="none" w:sz="0" w:space="0" w:color="auto"/>
        <w:bottom w:val="none" w:sz="0" w:space="0" w:color="auto"/>
        <w:right w:val="none" w:sz="0" w:space="0" w:color="auto"/>
      </w:divBdr>
      <w:divsChild>
        <w:div w:id="22831906">
          <w:marLeft w:val="0"/>
          <w:marRight w:val="0"/>
          <w:marTop w:val="0"/>
          <w:marBottom w:val="0"/>
          <w:divBdr>
            <w:top w:val="none" w:sz="0" w:space="0" w:color="auto"/>
            <w:left w:val="none" w:sz="0" w:space="0" w:color="auto"/>
            <w:bottom w:val="none" w:sz="0" w:space="0" w:color="auto"/>
            <w:right w:val="none" w:sz="0" w:space="0" w:color="auto"/>
          </w:divBdr>
        </w:div>
        <w:div w:id="32661915">
          <w:marLeft w:val="0"/>
          <w:marRight w:val="0"/>
          <w:marTop w:val="0"/>
          <w:marBottom w:val="0"/>
          <w:divBdr>
            <w:top w:val="none" w:sz="0" w:space="0" w:color="auto"/>
            <w:left w:val="none" w:sz="0" w:space="0" w:color="auto"/>
            <w:bottom w:val="none" w:sz="0" w:space="0" w:color="auto"/>
            <w:right w:val="none" w:sz="0" w:space="0" w:color="auto"/>
          </w:divBdr>
        </w:div>
        <w:div w:id="45885188">
          <w:marLeft w:val="0"/>
          <w:marRight w:val="0"/>
          <w:marTop w:val="0"/>
          <w:marBottom w:val="0"/>
          <w:divBdr>
            <w:top w:val="none" w:sz="0" w:space="0" w:color="auto"/>
            <w:left w:val="none" w:sz="0" w:space="0" w:color="auto"/>
            <w:bottom w:val="none" w:sz="0" w:space="0" w:color="auto"/>
            <w:right w:val="none" w:sz="0" w:space="0" w:color="auto"/>
          </w:divBdr>
        </w:div>
        <w:div w:id="48190708">
          <w:marLeft w:val="0"/>
          <w:marRight w:val="0"/>
          <w:marTop w:val="0"/>
          <w:marBottom w:val="0"/>
          <w:divBdr>
            <w:top w:val="none" w:sz="0" w:space="0" w:color="auto"/>
            <w:left w:val="none" w:sz="0" w:space="0" w:color="auto"/>
            <w:bottom w:val="none" w:sz="0" w:space="0" w:color="auto"/>
            <w:right w:val="none" w:sz="0" w:space="0" w:color="auto"/>
          </w:divBdr>
        </w:div>
        <w:div w:id="67657402">
          <w:marLeft w:val="0"/>
          <w:marRight w:val="0"/>
          <w:marTop w:val="0"/>
          <w:marBottom w:val="0"/>
          <w:divBdr>
            <w:top w:val="none" w:sz="0" w:space="0" w:color="auto"/>
            <w:left w:val="none" w:sz="0" w:space="0" w:color="auto"/>
            <w:bottom w:val="none" w:sz="0" w:space="0" w:color="auto"/>
            <w:right w:val="none" w:sz="0" w:space="0" w:color="auto"/>
          </w:divBdr>
        </w:div>
        <w:div w:id="83888770">
          <w:marLeft w:val="0"/>
          <w:marRight w:val="0"/>
          <w:marTop w:val="0"/>
          <w:marBottom w:val="0"/>
          <w:divBdr>
            <w:top w:val="none" w:sz="0" w:space="0" w:color="auto"/>
            <w:left w:val="none" w:sz="0" w:space="0" w:color="auto"/>
            <w:bottom w:val="none" w:sz="0" w:space="0" w:color="auto"/>
            <w:right w:val="none" w:sz="0" w:space="0" w:color="auto"/>
          </w:divBdr>
        </w:div>
        <w:div w:id="107238538">
          <w:marLeft w:val="0"/>
          <w:marRight w:val="0"/>
          <w:marTop w:val="0"/>
          <w:marBottom w:val="0"/>
          <w:divBdr>
            <w:top w:val="none" w:sz="0" w:space="0" w:color="auto"/>
            <w:left w:val="none" w:sz="0" w:space="0" w:color="auto"/>
            <w:bottom w:val="none" w:sz="0" w:space="0" w:color="auto"/>
            <w:right w:val="none" w:sz="0" w:space="0" w:color="auto"/>
          </w:divBdr>
        </w:div>
        <w:div w:id="122164577">
          <w:marLeft w:val="0"/>
          <w:marRight w:val="0"/>
          <w:marTop w:val="0"/>
          <w:marBottom w:val="0"/>
          <w:divBdr>
            <w:top w:val="none" w:sz="0" w:space="0" w:color="auto"/>
            <w:left w:val="none" w:sz="0" w:space="0" w:color="auto"/>
            <w:bottom w:val="none" w:sz="0" w:space="0" w:color="auto"/>
            <w:right w:val="none" w:sz="0" w:space="0" w:color="auto"/>
          </w:divBdr>
        </w:div>
        <w:div w:id="124810561">
          <w:marLeft w:val="0"/>
          <w:marRight w:val="0"/>
          <w:marTop w:val="0"/>
          <w:marBottom w:val="0"/>
          <w:divBdr>
            <w:top w:val="none" w:sz="0" w:space="0" w:color="auto"/>
            <w:left w:val="none" w:sz="0" w:space="0" w:color="auto"/>
            <w:bottom w:val="none" w:sz="0" w:space="0" w:color="auto"/>
            <w:right w:val="none" w:sz="0" w:space="0" w:color="auto"/>
          </w:divBdr>
        </w:div>
        <w:div w:id="134105636">
          <w:marLeft w:val="0"/>
          <w:marRight w:val="0"/>
          <w:marTop w:val="0"/>
          <w:marBottom w:val="0"/>
          <w:divBdr>
            <w:top w:val="none" w:sz="0" w:space="0" w:color="auto"/>
            <w:left w:val="none" w:sz="0" w:space="0" w:color="auto"/>
            <w:bottom w:val="none" w:sz="0" w:space="0" w:color="auto"/>
            <w:right w:val="none" w:sz="0" w:space="0" w:color="auto"/>
          </w:divBdr>
        </w:div>
        <w:div w:id="156770536">
          <w:marLeft w:val="0"/>
          <w:marRight w:val="0"/>
          <w:marTop w:val="0"/>
          <w:marBottom w:val="0"/>
          <w:divBdr>
            <w:top w:val="none" w:sz="0" w:space="0" w:color="auto"/>
            <w:left w:val="none" w:sz="0" w:space="0" w:color="auto"/>
            <w:bottom w:val="none" w:sz="0" w:space="0" w:color="auto"/>
            <w:right w:val="none" w:sz="0" w:space="0" w:color="auto"/>
          </w:divBdr>
        </w:div>
        <w:div w:id="241762612">
          <w:marLeft w:val="0"/>
          <w:marRight w:val="0"/>
          <w:marTop w:val="0"/>
          <w:marBottom w:val="0"/>
          <w:divBdr>
            <w:top w:val="none" w:sz="0" w:space="0" w:color="auto"/>
            <w:left w:val="none" w:sz="0" w:space="0" w:color="auto"/>
            <w:bottom w:val="none" w:sz="0" w:space="0" w:color="auto"/>
            <w:right w:val="none" w:sz="0" w:space="0" w:color="auto"/>
          </w:divBdr>
        </w:div>
        <w:div w:id="277807313">
          <w:marLeft w:val="0"/>
          <w:marRight w:val="0"/>
          <w:marTop w:val="0"/>
          <w:marBottom w:val="0"/>
          <w:divBdr>
            <w:top w:val="none" w:sz="0" w:space="0" w:color="auto"/>
            <w:left w:val="none" w:sz="0" w:space="0" w:color="auto"/>
            <w:bottom w:val="none" w:sz="0" w:space="0" w:color="auto"/>
            <w:right w:val="none" w:sz="0" w:space="0" w:color="auto"/>
          </w:divBdr>
        </w:div>
        <w:div w:id="318266190">
          <w:marLeft w:val="0"/>
          <w:marRight w:val="0"/>
          <w:marTop w:val="0"/>
          <w:marBottom w:val="0"/>
          <w:divBdr>
            <w:top w:val="none" w:sz="0" w:space="0" w:color="auto"/>
            <w:left w:val="none" w:sz="0" w:space="0" w:color="auto"/>
            <w:bottom w:val="none" w:sz="0" w:space="0" w:color="auto"/>
            <w:right w:val="none" w:sz="0" w:space="0" w:color="auto"/>
          </w:divBdr>
        </w:div>
        <w:div w:id="337932270">
          <w:marLeft w:val="0"/>
          <w:marRight w:val="0"/>
          <w:marTop w:val="0"/>
          <w:marBottom w:val="0"/>
          <w:divBdr>
            <w:top w:val="none" w:sz="0" w:space="0" w:color="auto"/>
            <w:left w:val="none" w:sz="0" w:space="0" w:color="auto"/>
            <w:bottom w:val="none" w:sz="0" w:space="0" w:color="auto"/>
            <w:right w:val="none" w:sz="0" w:space="0" w:color="auto"/>
          </w:divBdr>
        </w:div>
        <w:div w:id="353725813">
          <w:marLeft w:val="0"/>
          <w:marRight w:val="0"/>
          <w:marTop w:val="0"/>
          <w:marBottom w:val="0"/>
          <w:divBdr>
            <w:top w:val="none" w:sz="0" w:space="0" w:color="auto"/>
            <w:left w:val="none" w:sz="0" w:space="0" w:color="auto"/>
            <w:bottom w:val="none" w:sz="0" w:space="0" w:color="auto"/>
            <w:right w:val="none" w:sz="0" w:space="0" w:color="auto"/>
          </w:divBdr>
        </w:div>
        <w:div w:id="357241285">
          <w:marLeft w:val="0"/>
          <w:marRight w:val="0"/>
          <w:marTop w:val="0"/>
          <w:marBottom w:val="0"/>
          <w:divBdr>
            <w:top w:val="none" w:sz="0" w:space="0" w:color="auto"/>
            <w:left w:val="none" w:sz="0" w:space="0" w:color="auto"/>
            <w:bottom w:val="none" w:sz="0" w:space="0" w:color="auto"/>
            <w:right w:val="none" w:sz="0" w:space="0" w:color="auto"/>
          </w:divBdr>
        </w:div>
        <w:div w:id="376585447">
          <w:marLeft w:val="0"/>
          <w:marRight w:val="0"/>
          <w:marTop w:val="0"/>
          <w:marBottom w:val="0"/>
          <w:divBdr>
            <w:top w:val="none" w:sz="0" w:space="0" w:color="auto"/>
            <w:left w:val="none" w:sz="0" w:space="0" w:color="auto"/>
            <w:bottom w:val="none" w:sz="0" w:space="0" w:color="auto"/>
            <w:right w:val="none" w:sz="0" w:space="0" w:color="auto"/>
          </w:divBdr>
        </w:div>
        <w:div w:id="412816786">
          <w:marLeft w:val="0"/>
          <w:marRight w:val="0"/>
          <w:marTop w:val="0"/>
          <w:marBottom w:val="0"/>
          <w:divBdr>
            <w:top w:val="none" w:sz="0" w:space="0" w:color="auto"/>
            <w:left w:val="none" w:sz="0" w:space="0" w:color="auto"/>
            <w:bottom w:val="none" w:sz="0" w:space="0" w:color="auto"/>
            <w:right w:val="none" w:sz="0" w:space="0" w:color="auto"/>
          </w:divBdr>
        </w:div>
        <w:div w:id="429815811">
          <w:marLeft w:val="0"/>
          <w:marRight w:val="0"/>
          <w:marTop w:val="0"/>
          <w:marBottom w:val="0"/>
          <w:divBdr>
            <w:top w:val="none" w:sz="0" w:space="0" w:color="auto"/>
            <w:left w:val="none" w:sz="0" w:space="0" w:color="auto"/>
            <w:bottom w:val="none" w:sz="0" w:space="0" w:color="auto"/>
            <w:right w:val="none" w:sz="0" w:space="0" w:color="auto"/>
          </w:divBdr>
        </w:div>
        <w:div w:id="436683766">
          <w:marLeft w:val="0"/>
          <w:marRight w:val="0"/>
          <w:marTop w:val="0"/>
          <w:marBottom w:val="0"/>
          <w:divBdr>
            <w:top w:val="none" w:sz="0" w:space="0" w:color="auto"/>
            <w:left w:val="none" w:sz="0" w:space="0" w:color="auto"/>
            <w:bottom w:val="none" w:sz="0" w:space="0" w:color="auto"/>
            <w:right w:val="none" w:sz="0" w:space="0" w:color="auto"/>
          </w:divBdr>
        </w:div>
        <w:div w:id="468207155">
          <w:marLeft w:val="0"/>
          <w:marRight w:val="0"/>
          <w:marTop w:val="0"/>
          <w:marBottom w:val="0"/>
          <w:divBdr>
            <w:top w:val="none" w:sz="0" w:space="0" w:color="auto"/>
            <w:left w:val="none" w:sz="0" w:space="0" w:color="auto"/>
            <w:bottom w:val="none" w:sz="0" w:space="0" w:color="auto"/>
            <w:right w:val="none" w:sz="0" w:space="0" w:color="auto"/>
          </w:divBdr>
        </w:div>
        <w:div w:id="494953908">
          <w:marLeft w:val="0"/>
          <w:marRight w:val="0"/>
          <w:marTop w:val="0"/>
          <w:marBottom w:val="0"/>
          <w:divBdr>
            <w:top w:val="none" w:sz="0" w:space="0" w:color="auto"/>
            <w:left w:val="none" w:sz="0" w:space="0" w:color="auto"/>
            <w:bottom w:val="none" w:sz="0" w:space="0" w:color="auto"/>
            <w:right w:val="none" w:sz="0" w:space="0" w:color="auto"/>
          </w:divBdr>
        </w:div>
        <w:div w:id="499933409">
          <w:marLeft w:val="0"/>
          <w:marRight w:val="0"/>
          <w:marTop w:val="0"/>
          <w:marBottom w:val="0"/>
          <w:divBdr>
            <w:top w:val="none" w:sz="0" w:space="0" w:color="auto"/>
            <w:left w:val="none" w:sz="0" w:space="0" w:color="auto"/>
            <w:bottom w:val="none" w:sz="0" w:space="0" w:color="auto"/>
            <w:right w:val="none" w:sz="0" w:space="0" w:color="auto"/>
          </w:divBdr>
        </w:div>
        <w:div w:id="505705406">
          <w:marLeft w:val="0"/>
          <w:marRight w:val="0"/>
          <w:marTop w:val="0"/>
          <w:marBottom w:val="0"/>
          <w:divBdr>
            <w:top w:val="none" w:sz="0" w:space="0" w:color="auto"/>
            <w:left w:val="none" w:sz="0" w:space="0" w:color="auto"/>
            <w:bottom w:val="none" w:sz="0" w:space="0" w:color="auto"/>
            <w:right w:val="none" w:sz="0" w:space="0" w:color="auto"/>
          </w:divBdr>
        </w:div>
        <w:div w:id="552011783">
          <w:marLeft w:val="0"/>
          <w:marRight w:val="0"/>
          <w:marTop w:val="0"/>
          <w:marBottom w:val="0"/>
          <w:divBdr>
            <w:top w:val="none" w:sz="0" w:space="0" w:color="auto"/>
            <w:left w:val="none" w:sz="0" w:space="0" w:color="auto"/>
            <w:bottom w:val="none" w:sz="0" w:space="0" w:color="auto"/>
            <w:right w:val="none" w:sz="0" w:space="0" w:color="auto"/>
          </w:divBdr>
        </w:div>
        <w:div w:id="583730393">
          <w:marLeft w:val="0"/>
          <w:marRight w:val="0"/>
          <w:marTop w:val="0"/>
          <w:marBottom w:val="0"/>
          <w:divBdr>
            <w:top w:val="none" w:sz="0" w:space="0" w:color="auto"/>
            <w:left w:val="none" w:sz="0" w:space="0" w:color="auto"/>
            <w:bottom w:val="none" w:sz="0" w:space="0" w:color="auto"/>
            <w:right w:val="none" w:sz="0" w:space="0" w:color="auto"/>
          </w:divBdr>
        </w:div>
        <w:div w:id="607978208">
          <w:marLeft w:val="0"/>
          <w:marRight w:val="0"/>
          <w:marTop w:val="0"/>
          <w:marBottom w:val="0"/>
          <w:divBdr>
            <w:top w:val="none" w:sz="0" w:space="0" w:color="auto"/>
            <w:left w:val="none" w:sz="0" w:space="0" w:color="auto"/>
            <w:bottom w:val="none" w:sz="0" w:space="0" w:color="auto"/>
            <w:right w:val="none" w:sz="0" w:space="0" w:color="auto"/>
          </w:divBdr>
        </w:div>
        <w:div w:id="617416957">
          <w:marLeft w:val="0"/>
          <w:marRight w:val="0"/>
          <w:marTop w:val="0"/>
          <w:marBottom w:val="0"/>
          <w:divBdr>
            <w:top w:val="none" w:sz="0" w:space="0" w:color="auto"/>
            <w:left w:val="none" w:sz="0" w:space="0" w:color="auto"/>
            <w:bottom w:val="none" w:sz="0" w:space="0" w:color="auto"/>
            <w:right w:val="none" w:sz="0" w:space="0" w:color="auto"/>
          </w:divBdr>
        </w:div>
        <w:div w:id="636379360">
          <w:marLeft w:val="0"/>
          <w:marRight w:val="0"/>
          <w:marTop w:val="0"/>
          <w:marBottom w:val="0"/>
          <w:divBdr>
            <w:top w:val="none" w:sz="0" w:space="0" w:color="auto"/>
            <w:left w:val="none" w:sz="0" w:space="0" w:color="auto"/>
            <w:bottom w:val="none" w:sz="0" w:space="0" w:color="auto"/>
            <w:right w:val="none" w:sz="0" w:space="0" w:color="auto"/>
          </w:divBdr>
        </w:div>
        <w:div w:id="641883536">
          <w:marLeft w:val="0"/>
          <w:marRight w:val="0"/>
          <w:marTop w:val="0"/>
          <w:marBottom w:val="0"/>
          <w:divBdr>
            <w:top w:val="none" w:sz="0" w:space="0" w:color="auto"/>
            <w:left w:val="none" w:sz="0" w:space="0" w:color="auto"/>
            <w:bottom w:val="none" w:sz="0" w:space="0" w:color="auto"/>
            <w:right w:val="none" w:sz="0" w:space="0" w:color="auto"/>
          </w:divBdr>
        </w:div>
        <w:div w:id="671833642">
          <w:marLeft w:val="0"/>
          <w:marRight w:val="0"/>
          <w:marTop w:val="0"/>
          <w:marBottom w:val="0"/>
          <w:divBdr>
            <w:top w:val="none" w:sz="0" w:space="0" w:color="auto"/>
            <w:left w:val="none" w:sz="0" w:space="0" w:color="auto"/>
            <w:bottom w:val="none" w:sz="0" w:space="0" w:color="auto"/>
            <w:right w:val="none" w:sz="0" w:space="0" w:color="auto"/>
          </w:divBdr>
        </w:div>
        <w:div w:id="703410059">
          <w:marLeft w:val="0"/>
          <w:marRight w:val="0"/>
          <w:marTop w:val="0"/>
          <w:marBottom w:val="0"/>
          <w:divBdr>
            <w:top w:val="none" w:sz="0" w:space="0" w:color="auto"/>
            <w:left w:val="none" w:sz="0" w:space="0" w:color="auto"/>
            <w:bottom w:val="none" w:sz="0" w:space="0" w:color="auto"/>
            <w:right w:val="none" w:sz="0" w:space="0" w:color="auto"/>
          </w:divBdr>
        </w:div>
        <w:div w:id="706763554">
          <w:marLeft w:val="0"/>
          <w:marRight w:val="0"/>
          <w:marTop w:val="0"/>
          <w:marBottom w:val="0"/>
          <w:divBdr>
            <w:top w:val="none" w:sz="0" w:space="0" w:color="auto"/>
            <w:left w:val="none" w:sz="0" w:space="0" w:color="auto"/>
            <w:bottom w:val="none" w:sz="0" w:space="0" w:color="auto"/>
            <w:right w:val="none" w:sz="0" w:space="0" w:color="auto"/>
          </w:divBdr>
        </w:div>
        <w:div w:id="712577815">
          <w:marLeft w:val="0"/>
          <w:marRight w:val="0"/>
          <w:marTop w:val="0"/>
          <w:marBottom w:val="0"/>
          <w:divBdr>
            <w:top w:val="none" w:sz="0" w:space="0" w:color="auto"/>
            <w:left w:val="none" w:sz="0" w:space="0" w:color="auto"/>
            <w:bottom w:val="none" w:sz="0" w:space="0" w:color="auto"/>
            <w:right w:val="none" w:sz="0" w:space="0" w:color="auto"/>
          </w:divBdr>
        </w:div>
        <w:div w:id="734086818">
          <w:marLeft w:val="0"/>
          <w:marRight w:val="0"/>
          <w:marTop w:val="0"/>
          <w:marBottom w:val="0"/>
          <w:divBdr>
            <w:top w:val="none" w:sz="0" w:space="0" w:color="auto"/>
            <w:left w:val="none" w:sz="0" w:space="0" w:color="auto"/>
            <w:bottom w:val="none" w:sz="0" w:space="0" w:color="auto"/>
            <w:right w:val="none" w:sz="0" w:space="0" w:color="auto"/>
          </w:divBdr>
        </w:div>
        <w:div w:id="764302977">
          <w:marLeft w:val="0"/>
          <w:marRight w:val="0"/>
          <w:marTop w:val="0"/>
          <w:marBottom w:val="0"/>
          <w:divBdr>
            <w:top w:val="none" w:sz="0" w:space="0" w:color="auto"/>
            <w:left w:val="none" w:sz="0" w:space="0" w:color="auto"/>
            <w:bottom w:val="none" w:sz="0" w:space="0" w:color="auto"/>
            <w:right w:val="none" w:sz="0" w:space="0" w:color="auto"/>
          </w:divBdr>
        </w:div>
        <w:div w:id="778795643">
          <w:marLeft w:val="0"/>
          <w:marRight w:val="0"/>
          <w:marTop w:val="0"/>
          <w:marBottom w:val="0"/>
          <w:divBdr>
            <w:top w:val="none" w:sz="0" w:space="0" w:color="auto"/>
            <w:left w:val="none" w:sz="0" w:space="0" w:color="auto"/>
            <w:bottom w:val="none" w:sz="0" w:space="0" w:color="auto"/>
            <w:right w:val="none" w:sz="0" w:space="0" w:color="auto"/>
          </w:divBdr>
        </w:div>
        <w:div w:id="806625906">
          <w:marLeft w:val="0"/>
          <w:marRight w:val="0"/>
          <w:marTop w:val="0"/>
          <w:marBottom w:val="0"/>
          <w:divBdr>
            <w:top w:val="none" w:sz="0" w:space="0" w:color="auto"/>
            <w:left w:val="none" w:sz="0" w:space="0" w:color="auto"/>
            <w:bottom w:val="none" w:sz="0" w:space="0" w:color="auto"/>
            <w:right w:val="none" w:sz="0" w:space="0" w:color="auto"/>
          </w:divBdr>
        </w:div>
        <w:div w:id="812526593">
          <w:marLeft w:val="0"/>
          <w:marRight w:val="0"/>
          <w:marTop w:val="0"/>
          <w:marBottom w:val="0"/>
          <w:divBdr>
            <w:top w:val="none" w:sz="0" w:space="0" w:color="auto"/>
            <w:left w:val="none" w:sz="0" w:space="0" w:color="auto"/>
            <w:bottom w:val="none" w:sz="0" w:space="0" w:color="auto"/>
            <w:right w:val="none" w:sz="0" w:space="0" w:color="auto"/>
          </w:divBdr>
        </w:div>
        <w:div w:id="863246278">
          <w:marLeft w:val="0"/>
          <w:marRight w:val="0"/>
          <w:marTop w:val="0"/>
          <w:marBottom w:val="0"/>
          <w:divBdr>
            <w:top w:val="none" w:sz="0" w:space="0" w:color="auto"/>
            <w:left w:val="none" w:sz="0" w:space="0" w:color="auto"/>
            <w:bottom w:val="none" w:sz="0" w:space="0" w:color="auto"/>
            <w:right w:val="none" w:sz="0" w:space="0" w:color="auto"/>
          </w:divBdr>
        </w:div>
        <w:div w:id="886647424">
          <w:marLeft w:val="0"/>
          <w:marRight w:val="0"/>
          <w:marTop w:val="0"/>
          <w:marBottom w:val="0"/>
          <w:divBdr>
            <w:top w:val="none" w:sz="0" w:space="0" w:color="auto"/>
            <w:left w:val="none" w:sz="0" w:space="0" w:color="auto"/>
            <w:bottom w:val="none" w:sz="0" w:space="0" w:color="auto"/>
            <w:right w:val="none" w:sz="0" w:space="0" w:color="auto"/>
          </w:divBdr>
        </w:div>
        <w:div w:id="890311578">
          <w:marLeft w:val="0"/>
          <w:marRight w:val="0"/>
          <w:marTop w:val="0"/>
          <w:marBottom w:val="0"/>
          <w:divBdr>
            <w:top w:val="none" w:sz="0" w:space="0" w:color="auto"/>
            <w:left w:val="none" w:sz="0" w:space="0" w:color="auto"/>
            <w:bottom w:val="none" w:sz="0" w:space="0" w:color="auto"/>
            <w:right w:val="none" w:sz="0" w:space="0" w:color="auto"/>
          </w:divBdr>
        </w:div>
        <w:div w:id="905838638">
          <w:marLeft w:val="0"/>
          <w:marRight w:val="0"/>
          <w:marTop w:val="0"/>
          <w:marBottom w:val="0"/>
          <w:divBdr>
            <w:top w:val="none" w:sz="0" w:space="0" w:color="auto"/>
            <w:left w:val="none" w:sz="0" w:space="0" w:color="auto"/>
            <w:bottom w:val="none" w:sz="0" w:space="0" w:color="auto"/>
            <w:right w:val="none" w:sz="0" w:space="0" w:color="auto"/>
          </w:divBdr>
        </w:div>
        <w:div w:id="922026186">
          <w:marLeft w:val="0"/>
          <w:marRight w:val="0"/>
          <w:marTop w:val="0"/>
          <w:marBottom w:val="0"/>
          <w:divBdr>
            <w:top w:val="none" w:sz="0" w:space="0" w:color="auto"/>
            <w:left w:val="none" w:sz="0" w:space="0" w:color="auto"/>
            <w:bottom w:val="none" w:sz="0" w:space="0" w:color="auto"/>
            <w:right w:val="none" w:sz="0" w:space="0" w:color="auto"/>
          </w:divBdr>
        </w:div>
        <w:div w:id="938753640">
          <w:marLeft w:val="0"/>
          <w:marRight w:val="0"/>
          <w:marTop w:val="0"/>
          <w:marBottom w:val="0"/>
          <w:divBdr>
            <w:top w:val="none" w:sz="0" w:space="0" w:color="auto"/>
            <w:left w:val="none" w:sz="0" w:space="0" w:color="auto"/>
            <w:bottom w:val="none" w:sz="0" w:space="0" w:color="auto"/>
            <w:right w:val="none" w:sz="0" w:space="0" w:color="auto"/>
          </w:divBdr>
        </w:div>
        <w:div w:id="947589995">
          <w:marLeft w:val="0"/>
          <w:marRight w:val="0"/>
          <w:marTop w:val="0"/>
          <w:marBottom w:val="0"/>
          <w:divBdr>
            <w:top w:val="none" w:sz="0" w:space="0" w:color="auto"/>
            <w:left w:val="none" w:sz="0" w:space="0" w:color="auto"/>
            <w:bottom w:val="none" w:sz="0" w:space="0" w:color="auto"/>
            <w:right w:val="none" w:sz="0" w:space="0" w:color="auto"/>
          </w:divBdr>
        </w:div>
        <w:div w:id="1001081947">
          <w:marLeft w:val="0"/>
          <w:marRight w:val="0"/>
          <w:marTop w:val="0"/>
          <w:marBottom w:val="0"/>
          <w:divBdr>
            <w:top w:val="none" w:sz="0" w:space="0" w:color="auto"/>
            <w:left w:val="none" w:sz="0" w:space="0" w:color="auto"/>
            <w:bottom w:val="none" w:sz="0" w:space="0" w:color="auto"/>
            <w:right w:val="none" w:sz="0" w:space="0" w:color="auto"/>
          </w:divBdr>
        </w:div>
        <w:div w:id="1009992111">
          <w:marLeft w:val="0"/>
          <w:marRight w:val="0"/>
          <w:marTop w:val="0"/>
          <w:marBottom w:val="0"/>
          <w:divBdr>
            <w:top w:val="none" w:sz="0" w:space="0" w:color="auto"/>
            <w:left w:val="none" w:sz="0" w:space="0" w:color="auto"/>
            <w:bottom w:val="none" w:sz="0" w:space="0" w:color="auto"/>
            <w:right w:val="none" w:sz="0" w:space="0" w:color="auto"/>
          </w:divBdr>
        </w:div>
        <w:div w:id="1011493941">
          <w:marLeft w:val="0"/>
          <w:marRight w:val="0"/>
          <w:marTop w:val="0"/>
          <w:marBottom w:val="0"/>
          <w:divBdr>
            <w:top w:val="none" w:sz="0" w:space="0" w:color="auto"/>
            <w:left w:val="none" w:sz="0" w:space="0" w:color="auto"/>
            <w:bottom w:val="none" w:sz="0" w:space="0" w:color="auto"/>
            <w:right w:val="none" w:sz="0" w:space="0" w:color="auto"/>
          </w:divBdr>
        </w:div>
        <w:div w:id="1017119964">
          <w:marLeft w:val="0"/>
          <w:marRight w:val="0"/>
          <w:marTop w:val="0"/>
          <w:marBottom w:val="0"/>
          <w:divBdr>
            <w:top w:val="none" w:sz="0" w:space="0" w:color="auto"/>
            <w:left w:val="none" w:sz="0" w:space="0" w:color="auto"/>
            <w:bottom w:val="none" w:sz="0" w:space="0" w:color="auto"/>
            <w:right w:val="none" w:sz="0" w:space="0" w:color="auto"/>
          </w:divBdr>
        </w:div>
        <w:div w:id="1029917432">
          <w:marLeft w:val="0"/>
          <w:marRight w:val="0"/>
          <w:marTop w:val="0"/>
          <w:marBottom w:val="0"/>
          <w:divBdr>
            <w:top w:val="none" w:sz="0" w:space="0" w:color="auto"/>
            <w:left w:val="none" w:sz="0" w:space="0" w:color="auto"/>
            <w:bottom w:val="none" w:sz="0" w:space="0" w:color="auto"/>
            <w:right w:val="none" w:sz="0" w:space="0" w:color="auto"/>
          </w:divBdr>
        </w:div>
        <w:div w:id="1079446074">
          <w:marLeft w:val="0"/>
          <w:marRight w:val="0"/>
          <w:marTop w:val="0"/>
          <w:marBottom w:val="0"/>
          <w:divBdr>
            <w:top w:val="none" w:sz="0" w:space="0" w:color="auto"/>
            <w:left w:val="none" w:sz="0" w:space="0" w:color="auto"/>
            <w:bottom w:val="none" w:sz="0" w:space="0" w:color="auto"/>
            <w:right w:val="none" w:sz="0" w:space="0" w:color="auto"/>
          </w:divBdr>
        </w:div>
        <w:div w:id="1095442714">
          <w:marLeft w:val="0"/>
          <w:marRight w:val="0"/>
          <w:marTop w:val="0"/>
          <w:marBottom w:val="0"/>
          <w:divBdr>
            <w:top w:val="none" w:sz="0" w:space="0" w:color="auto"/>
            <w:left w:val="none" w:sz="0" w:space="0" w:color="auto"/>
            <w:bottom w:val="none" w:sz="0" w:space="0" w:color="auto"/>
            <w:right w:val="none" w:sz="0" w:space="0" w:color="auto"/>
          </w:divBdr>
        </w:div>
        <w:div w:id="1104886001">
          <w:marLeft w:val="0"/>
          <w:marRight w:val="0"/>
          <w:marTop w:val="0"/>
          <w:marBottom w:val="0"/>
          <w:divBdr>
            <w:top w:val="none" w:sz="0" w:space="0" w:color="auto"/>
            <w:left w:val="none" w:sz="0" w:space="0" w:color="auto"/>
            <w:bottom w:val="none" w:sz="0" w:space="0" w:color="auto"/>
            <w:right w:val="none" w:sz="0" w:space="0" w:color="auto"/>
          </w:divBdr>
        </w:div>
        <w:div w:id="1126043617">
          <w:marLeft w:val="0"/>
          <w:marRight w:val="0"/>
          <w:marTop w:val="0"/>
          <w:marBottom w:val="0"/>
          <w:divBdr>
            <w:top w:val="none" w:sz="0" w:space="0" w:color="auto"/>
            <w:left w:val="none" w:sz="0" w:space="0" w:color="auto"/>
            <w:bottom w:val="none" w:sz="0" w:space="0" w:color="auto"/>
            <w:right w:val="none" w:sz="0" w:space="0" w:color="auto"/>
          </w:divBdr>
        </w:div>
        <w:div w:id="1158377752">
          <w:marLeft w:val="0"/>
          <w:marRight w:val="0"/>
          <w:marTop w:val="0"/>
          <w:marBottom w:val="0"/>
          <w:divBdr>
            <w:top w:val="none" w:sz="0" w:space="0" w:color="auto"/>
            <w:left w:val="none" w:sz="0" w:space="0" w:color="auto"/>
            <w:bottom w:val="none" w:sz="0" w:space="0" w:color="auto"/>
            <w:right w:val="none" w:sz="0" w:space="0" w:color="auto"/>
          </w:divBdr>
        </w:div>
        <w:div w:id="1191069238">
          <w:marLeft w:val="0"/>
          <w:marRight w:val="0"/>
          <w:marTop w:val="0"/>
          <w:marBottom w:val="0"/>
          <w:divBdr>
            <w:top w:val="none" w:sz="0" w:space="0" w:color="auto"/>
            <w:left w:val="none" w:sz="0" w:space="0" w:color="auto"/>
            <w:bottom w:val="none" w:sz="0" w:space="0" w:color="auto"/>
            <w:right w:val="none" w:sz="0" w:space="0" w:color="auto"/>
          </w:divBdr>
        </w:div>
        <w:div w:id="1232158540">
          <w:marLeft w:val="0"/>
          <w:marRight w:val="0"/>
          <w:marTop w:val="0"/>
          <w:marBottom w:val="0"/>
          <w:divBdr>
            <w:top w:val="none" w:sz="0" w:space="0" w:color="auto"/>
            <w:left w:val="none" w:sz="0" w:space="0" w:color="auto"/>
            <w:bottom w:val="none" w:sz="0" w:space="0" w:color="auto"/>
            <w:right w:val="none" w:sz="0" w:space="0" w:color="auto"/>
          </w:divBdr>
        </w:div>
        <w:div w:id="1242447375">
          <w:marLeft w:val="0"/>
          <w:marRight w:val="0"/>
          <w:marTop w:val="0"/>
          <w:marBottom w:val="0"/>
          <w:divBdr>
            <w:top w:val="none" w:sz="0" w:space="0" w:color="auto"/>
            <w:left w:val="none" w:sz="0" w:space="0" w:color="auto"/>
            <w:bottom w:val="none" w:sz="0" w:space="0" w:color="auto"/>
            <w:right w:val="none" w:sz="0" w:space="0" w:color="auto"/>
          </w:divBdr>
        </w:div>
        <w:div w:id="1251310717">
          <w:marLeft w:val="0"/>
          <w:marRight w:val="0"/>
          <w:marTop w:val="0"/>
          <w:marBottom w:val="0"/>
          <w:divBdr>
            <w:top w:val="none" w:sz="0" w:space="0" w:color="auto"/>
            <w:left w:val="none" w:sz="0" w:space="0" w:color="auto"/>
            <w:bottom w:val="none" w:sz="0" w:space="0" w:color="auto"/>
            <w:right w:val="none" w:sz="0" w:space="0" w:color="auto"/>
          </w:divBdr>
        </w:div>
        <w:div w:id="1271545713">
          <w:marLeft w:val="0"/>
          <w:marRight w:val="0"/>
          <w:marTop w:val="0"/>
          <w:marBottom w:val="0"/>
          <w:divBdr>
            <w:top w:val="none" w:sz="0" w:space="0" w:color="auto"/>
            <w:left w:val="none" w:sz="0" w:space="0" w:color="auto"/>
            <w:bottom w:val="none" w:sz="0" w:space="0" w:color="auto"/>
            <w:right w:val="none" w:sz="0" w:space="0" w:color="auto"/>
          </w:divBdr>
        </w:div>
        <w:div w:id="1294091179">
          <w:marLeft w:val="0"/>
          <w:marRight w:val="0"/>
          <w:marTop w:val="0"/>
          <w:marBottom w:val="0"/>
          <w:divBdr>
            <w:top w:val="none" w:sz="0" w:space="0" w:color="auto"/>
            <w:left w:val="none" w:sz="0" w:space="0" w:color="auto"/>
            <w:bottom w:val="none" w:sz="0" w:space="0" w:color="auto"/>
            <w:right w:val="none" w:sz="0" w:space="0" w:color="auto"/>
          </w:divBdr>
        </w:div>
        <w:div w:id="1311865756">
          <w:marLeft w:val="0"/>
          <w:marRight w:val="0"/>
          <w:marTop w:val="0"/>
          <w:marBottom w:val="0"/>
          <w:divBdr>
            <w:top w:val="none" w:sz="0" w:space="0" w:color="auto"/>
            <w:left w:val="none" w:sz="0" w:space="0" w:color="auto"/>
            <w:bottom w:val="none" w:sz="0" w:space="0" w:color="auto"/>
            <w:right w:val="none" w:sz="0" w:space="0" w:color="auto"/>
          </w:divBdr>
        </w:div>
        <w:div w:id="1382364949">
          <w:marLeft w:val="0"/>
          <w:marRight w:val="0"/>
          <w:marTop w:val="0"/>
          <w:marBottom w:val="0"/>
          <w:divBdr>
            <w:top w:val="none" w:sz="0" w:space="0" w:color="auto"/>
            <w:left w:val="none" w:sz="0" w:space="0" w:color="auto"/>
            <w:bottom w:val="none" w:sz="0" w:space="0" w:color="auto"/>
            <w:right w:val="none" w:sz="0" w:space="0" w:color="auto"/>
          </w:divBdr>
        </w:div>
        <w:div w:id="1457411027">
          <w:marLeft w:val="0"/>
          <w:marRight w:val="0"/>
          <w:marTop w:val="0"/>
          <w:marBottom w:val="0"/>
          <w:divBdr>
            <w:top w:val="none" w:sz="0" w:space="0" w:color="auto"/>
            <w:left w:val="none" w:sz="0" w:space="0" w:color="auto"/>
            <w:bottom w:val="none" w:sz="0" w:space="0" w:color="auto"/>
            <w:right w:val="none" w:sz="0" w:space="0" w:color="auto"/>
          </w:divBdr>
        </w:div>
        <w:div w:id="1458641649">
          <w:marLeft w:val="0"/>
          <w:marRight w:val="0"/>
          <w:marTop w:val="0"/>
          <w:marBottom w:val="0"/>
          <w:divBdr>
            <w:top w:val="none" w:sz="0" w:space="0" w:color="auto"/>
            <w:left w:val="none" w:sz="0" w:space="0" w:color="auto"/>
            <w:bottom w:val="none" w:sz="0" w:space="0" w:color="auto"/>
            <w:right w:val="none" w:sz="0" w:space="0" w:color="auto"/>
          </w:divBdr>
        </w:div>
        <w:div w:id="1551915729">
          <w:marLeft w:val="0"/>
          <w:marRight w:val="0"/>
          <w:marTop w:val="0"/>
          <w:marBottom w:val="0"/>
          <w:divBdr>
            <w:top w:val="none" w:sz="0" w:space="0" w:color="auto"/>
            <w:left w:val="none" w:sz="0" w:space="0" w:color="auto"/>
            <w:bottom w:val="none" w:sz="0" w:space="0" w:color="auto"/>
            <w:right w:val="none" w:sz="0" w:space="0" w:color="auto"/>
          </w:divBdr>
        </w:div>
        <w:div w:id="1561090727">
          <w:marLeft w:val="0"/>
          <w:marRight w:val="0"/>
          <w:marTop w:val="0"/>
          <w:marBottom w:val="0"/>
          <w:divBdr>
            <w:top w:val="none" w:sz="0" w:space="0" w:color="auto"/>
            <w:left w:val="none" w:sz="0" w:space="0" w:color="auto"/>
            <w:bottom w:val="none" w:sz="0" w:space="0" w:color="auto"/>
            <w:right w:val="none" w:sz="0" w:space="0" w:color="auto"/>
          </w:divBdr>
        </w:div>
        <w:div w:id="1581676739">
          <w:marLeft w:val="0"/>
          <w:marRight w:val="0"/>
          <w:marTop w:val="0"/>
          <w:marBottom w:val="0"/>
          <w:divBdr>
            <w:top w:val="none" w:sz="0" w:space="0" w:color="auto"/>
            <w:left w:val="none" w:sz="0" w:space="0" w:color="auto"/>
            <w:bottom w:val="none" w:sz="0" w:space="0" w:color="auto"/>
            <w:right w:val="none" w:sz="0" w:space="0" w:color="auto"/>
          </w:divBdr>
        </w:div>
        <w:div w:id="1628125437">
          <w:marLeft w:val="0"/>
          <w:marRight w:val="0"/>
          <w:marTop w:val="0"/>
          <w:marBottom w:val="0"/>
          <w:divBdr>
            <w:top w:val="none" w:sz="0" w:space="0" w:color="auto"/>
            <w:left w:val="none" w:sz="0" w:space="0" w:color="auto"/>
            <w:bottom w:val="none" w:sz="0" w:space="0" w:color="auto"/>
            <w:right w:val="none" w:sz="0" w:space="0" w:color="auto"/>
          </w:divBdr>
        </w:div>
        <w:div w:id="1637564669">
          <w:marLeft w:val="0"/>
          <w:marRight w:val="0"/>
          <w:marTop w:val="0"/>
          <w:marBottom w:val="0"/>
          <w:divBdr>
            <w:top w:val="none" w:sz="0" w:space="0" w:color="auto"/>
            <w:left w:val="none" w:sz="0" w:space="0" w:color="auto"/>
            <w:bottom w:val="none" w:sz="0" w:space="0" w:color="auto"/>
            <w:right w:val="none" w:sz="0" w:space="0" w:color="auto"/>
          </w:divBdr>
        </w:div>
        <w:div w:id="1642420489">
          <w:marLeft w:val="0"/>
          <w:marRight w:val="0"/>
          <w:marTop w:val="0"/>
          <w:marBottom w:val="0"/>
          <w:divBdr>
            <w:top w:val="none" w:sz="0" w:space="0" w:color="auto"/>
            <w:left w:val="none" w:sz="0" w:space="0" w:color="auto"/>
            <w:bottom w:val="none" w:sz="0" w:space="0" w:color="auto"/>
            <w:right w:val="none" w:sz="0" w:space="0" w:color="auto"/>
          </w:divBdr>
        </w:div>
        <w:div w:id="1652058147">
          <w:marLeft w:val="0"/>
          <w:marRight w:val="0"/>
          <w:marTop w:val="0"/>
          <w:marBottom w:val="0"/>
          <w:divBdr>
            <w:top w:val="none" w:sz="0" w:space="0" w:color="auto"/>
            <w:left w:val="none" w:sz="0" w:space="0" w:color="auto"/>
            <w:bottom w:val="none" w:sz="0" w:space="0" w:color="auto"/>
            <w:right w:val="none" w:sz="0" w:space="0" w:color="auto"/>
          </w:divBdr>
        </w:div>
        <w:div w:id="1663045795">
          <w:marLeft w:val="0"/>
          <w:marRight w:val="0"/>
          <w:marTop w:val="0"/>
          <w:marBottom w:val="0"/>
          <w:divBdr>
            <w:top w:val="none" w:sz="0" w:space="0" w:color="auto"/>
            <w:left w:val="none" w:sz="0" w:space="0" w:color="auto"/>
            <w:bottom w:val="none" w:sz="0" w:space="0" w:color="auto"/>
            <w:right w:val="none" w:sz="0" w:space="0" w:color="auto"/>
          </w:divBdr>
        </w:div>
        <w:div w:id="1671836000">
          <w:marLeft w:val="0"/>
          <w:marRight w:val="0"/>
          <w:marTop w:val="0"/>
          <w:marBottom w:val="0"/>
          <w:divBdr>
            <w:top w:val="none" w:sz="0" w:space="0" w:color="auto"/>
            <w:left w:val="none" w:sz="0" w:space="0" w:color="auto"/>
            <w:bottom w:val="none" w:sz="0" w:space="0" w:color="auto"/>
            <w:right w:val="none" w:sz="0" w:space="0" w:color="auto"/>
          </w:divBdr>
        </w:div>
        <w:div w:id="1672683914">
          <w:marLeft w:val="0"/>
          <w:marRight w:val="0"/>
          <w:marTop w:val="0"/>
          <w:marBottom w:val="0"/>
          <w:divBdr>
            <w:top w:val="none" w:sz="0" w:space="0" w:color="auto"/>
            <w:left w:val="none" w:sz="0" w:space="0" w:color="auto"/>
            <w:bottom w:val="none" w:sz="0" w:space="0" w:color="auto"/>
            <w:right w:val="none" w:sz="0" w:space="0" w:color="auto"/>
          </w:divBdr>
        </w:div>
        <w:div w:id="1674184422">
          <w:marLeft w:val="0"/>
          <w:marRight w:val="0"/>
          <w:marTop w:val="0"/>
          <w:marBottom w:val="0"/>
          <w:divBdr>
            <w:top w:val="none" w:sz="0" w:space="0" w:color="auto"/>
            <w:left w:val="none" w:sz="0" w:space="0" w:color="auto"/>
            <w:bottom w:val="none" w:sz="0" w:space="0" w:color="auto"/>
            <w:right w:val="none" w:sz="0" w:space="0" w:color="auto"/>
          </w:divBdr>
        </w:div>
        <w:div w:id="1678146978">
          <w:marLeft w:val="0"/>
          <w:marRight w:val="0"/>
          <w:marTop w:val="0"/>
          <w:marBottom w:val="0"/>
          <w:divBdr>
            <w:top w:val="none" w:sz="0" w:space="0" w:color="auto"/>
            <w:left w:val="none" w:sz="0" w:space="0" w:color="auto"/>
            <w:bottom w:val="none" w:sz="0" w:space="0" w:color="auto"/>
            <w:right w:val="none" w:sz="0" w:space="0" w:color="auto"/>
          </w:divBdr>
        </w:div>
        <w:div w:id="1681351328">
          <w:marLeft w:val="0"/>
          <w:marRight w:val="0"/>
          <w:marTop w:val="0"/>
          <w:marBottom w:val="0"/>
          <w:divBdr>
            <w:top w:val="none" w:sz="0" w:space="0" w:color="auto"/>
            <w:left w:val="none" w:sz="0" w:space="0" w:color="auto"/>
            <w:bottom w:val="none" w:sz="0" w:space="0" w:color="auto"/>
            <w:right w:val="none" w:sz="0" w:space="0" w:color="auto"/>
          </w:divBdr>
        </w:div>
        <w:div w:id="1722053900">
          <w:marLeft w:val="0"/>
          <w:marRight w:val="0"/>
          <w:marTop w:val="0"/>
          <w:marBottom w:val="0"/>
          <w:divBdr>
            <w:top w:val="none" w:sz="0" w:space="0" w:color="auto"/>
            <w:left w:val="none" w:sz="0" w:space="0" w:color="auto"/>
            <w:bottom w:val="none" w:sz="0" w:space="0" w:color="auto"/>
            <w:right w:val="none" w:sz="0" w:space="0" w:color="auto"/>
          </w:divBdr>
        </w:div>
        <w:div w:id="1728335403">
          <w:marLeft w:val="0"/>
          <w:marRight w:val="0"/>
          <w:marTop w:val="0"/>
          <w:marBottom w:val="0"/>
          <w:divBdr>
            <w:top w:val="none" w:sz="0" w:space="0" w:color="auto"/>
            <w:left w:val="none" w:sz="0" w:space="0" w:color="auto"/>
            <w:bottom w:val="none" w:sz="0" w:space="0" w:color="auto"/>
            <w:right w:val="none" w:sz="0" w:space="0" w:color="auto"/>
          </w:divBdr>
        </w:div>
        <w:div w:id="1731729938">
          <w:marLeft w:val="0"/>
          <w:marRight w:val="0"/>
          <w:marTop w:val="0"/>
          <w:marBottom w:val="0"/>
          <w:divBdr>
            <w:top w:val="none" w:sz="0" w:space="0" w:color="auto"/>
            <w:left w:val="none" w:sz="0" w:space="0" w:color="auto"/>
            <w:bottom w:val="none" w:sz="0" w:space="0" w:color="auto"/>
            <w:right w:val="none" w:sz="0" w:space="0" w:color="auto"/>
          </w:divBdr>
        </w:div>
        <w:div w:id="1750885893">
          <w:marLeft w:val="0"/>
          <w:marRight w:val="0"/>
          <w:marTop w:val="0"/>
          <w:marBottom w:val="0"/>
          <w:divBdr>
            <w:top w:val="none" w:sz="0" w:space="0" w:color="auto"/>
            <w:left w:val="none" w:sz="0" w:space="0" w:color="auto"/>
            <w:bottom w:val="none" w:sz="0" w:space="0" w:color="auto"/>
            <w:right w:val="none" w:sz="0" w:space="0" w:color="auto"/>
          </w:divBdr>
        </w:div>
        <w:div w:id="1757745544">
          <w:marLeft w:val="0"/>
          <w:marRight w:val="0"/>
          <w:marTop w:val="0"/>
          <w:marBottom w:val="0"/>
          <w:divBdr>
            <w:top w:val="none" w:sz="0" w:space="0" w:color="auto"/>
            <w:left w:val="none" w:sz="0" w:space="0" w:color="auto"/>
            <w:bottom w:val="none" w:sz="0" w:space="0" w:color="auto"/>
            <w:right w:val="none" w:sz="0" w:space="0" w:color="auto"/>
          </w:divBdr>
        </w:div>
        <w:div w:id="1764454055">
          <w:marLeft w:val="0"/>
          <w:marRight w:val="0"/>
          <w:marTop w:val="0"/>
          <w:marBottom w:val="0"/>
          <w:divBdr>
            <w:top w:val="none" w:sz="0" w:space="0" w:color="auto"/>
            <w:left w:val="none" w:sz="0" w:space="0" w:color="auto"/>
            <w:bottom w:val="none" w:sz="0" w:space="0" w:color="auto"/>
            <w:right w:val="none" w:sz="0" w:space="0" w:color="auto"/>
          </w:divBdr>
        </w:div>
        <w:div w:id="1779373495">
          <w:marLeft w:val="0"/>
          <w:marRight w:val="0"/>
          <w:marTop w:val="0"/>
          <w:marBottom w:val="0"/>
          <w:divBdr>
            <w:top w:val="none" w:sz="0" w:space="0" w:color="auto"/>
            <w:left w:val="none" w:sz="0" w:space="0" w:color="auto"/>
            <w:bottom w:val="none" w:sz="0" w:space="0" w:color="auto"/>
            <w:right w:val="none" w:sz="0" w:space="0" w:color="auto"/>
          </w:divBdr>
        </w:div>
        <w:div w:id="1789353871">
          <w:marLeft w:val="0"/>
          <w:marRight w:val="0"/>
          <w:marTop w:val="0"/>
          <w:marBottom w:val="0"/>
          <w:divBdr>
            <w:top w:val="none" w:sz="0" w:space="0" w:color="auto"/>
            <w:left w:val="none" w:sz="0" w:space="0" w:color="auto"/>
            <w:bottom w:val="none" w:sz="0" w:space="0" w:color="auto"/>
            <w:right w:val="none" w:sz="0" w:space="0" w:color="auto"/>
          </w:divBdr>
        </w:div>
        <w:div w:id="1799567411">
          <w:marLeft w:val="0"/>
          <w:marRight w:val="0"/>
          <w:marTop w:val="0"/>
          <w:marBottom w:val="0"/>
          <w:divBdr>
            <w:top w:val="none" w:sz="0" w:space="0" w:color="auto"/>
            <w:left w:val="none" w:sz="0" w:space="0" w:color="auto"/>
            <w:bottom w:val="none" w:sz="0" w:space="0" w:color="auto"/>
            <w:right w:val="none" w:sz="0" w:space="0" w:color="auto"/>
          </w:divBdr>
        </w:div>
        <w:div w:id="1823354747">
          <w:marLeft w:val="0"/>
          <w:marRight w:val="0"/>
          <w:marTop w:val="0"/>
          <w:marBottom w:val="0"/>
          <w:divBdr>
            <w:top w:val="none" w:sz="0" w:space="0" w:color="auto"/>
            <w:left w:val="none" w:sz="0" w:space="0" w:color="auto"/>
            <w:bottom w:val="none" w:sz="0" w:space="0" w:color="auto"/>
            <w:right w:val="none" w:sz="0" w:space="0" w:color="auto"/>
          </w:divBdr>
        </w:div>
        <w:div w:id="1837107245">
          <w:marLeft w:val="0"/>
          <w:marRight w:val="0"/>
          <w:marTop w:val="0"/>
          <w:marBottom w:val="0"/>
          <w:divBdr>
            <w:top w:val="none" w:sz="0" w:space="0" w:color="auto"/>
            <w:left w:val="none" w:sz="0" w:space="0" w:color="auto"/>
            <w:bottom w:val="none" w:sz="0" w:space="0" w:color="auto"/>
            <w:right w:val="none" w:sz="0" w:space="0" w:color="auto"/>
          </w:divBdr>
        </w:div>
        <w:div w:id="1863662242">
          <w:marLeft w:val="0"/>
          <w:marRight w:val="0"/>
          <w:marTop w:val="0"/>
          <w:marBottom w:val="0"/>
          <w:divBdr>
            <w:top w:val="none" w:sz="0" w:space="0" w:color="auto"/>
            <w:left w:val="none" w:sz="0" w:space="0" w:color="auto"/>
            <w:bottom w:val="none" w:sz="0" w:space="0" w:color="auto"/>
            <w:right w:val="none" w:sz="0" w:space="0" w:color="auto"/>
          </w:divBdr>
        </w:div>
        <w:div w:id="1871331464">
          <w:marLeft w:val="0"/>
          <w:marRight w:val="0"/>
          <w:marTop w:val="0"/>
          <w:marBottom w:val="0"/>
          <w:divBdr>
            <w:top w:val="none" w:sz="0" w:space="0" w:color="auto"/>
            <w:left w:val="none" w:sz="0" w:space="0" w:color="auto"/>
            <w:bottom w:val="none" w:sz="0" w:space="0" w:color="auto"/>
            <w:right w:val="none" w:sz="0" w:space="0" w:color="auto"/>
          </w:divBdr>
        </w:div>
        <w:div w:id="1875338567">
          <w:marLeft w:val="0"/>
          <w:marRight w:val="0"/>
          <w:marTop w:val="0"/>
          <w:marBottom w:val="0"/>
          <w:divBdr>
            <w:top w:val="none" w:sz="0" w:space="0" w:color="auto"/>
            <w:left w:val="none" w:sz="0" w:space="0" w:color="auto"/>
            <w:bottom w:val="none" w:sz="0" w:space="0" w:color="auto"/>
            <w:right w:val="none" w:sz="0" w:space="0" w:color="auto"/>
          </w:divBdr>
        </w:div>
        <w:div w:id="1884101046">
          <w:marLeft w:val="0"/>
          <w:marRight w:val="0"/>
          <w:marTop w:val="0"/>
          <w:marBottom w:val="0"/>
          <w:divBdr>
            <w:top w:val="none" w:sz="0" w:space="0" w:color="auto"/>
            <w:left w:val="none" w:sz="0" w:space="0" w:color="auto"/>
            <w:bottom w:val="none" w:sz="0" w:space="0" w:color="auto"/>
            <w:right w:val="none" w:sz="0" w:space="0" w:color="auto"/>
          </w:divBdr>
        </w:div>
        <w:div w:id="1904636740">
          <w:marLeft w:val="0"/>
          <w:marRight w:val="0"/>
          <w:marTop w:val="0"/>
          <w:marBottom w:val="0"/>
          <w:divBdr>
            <w:top w:val="none" w:sz="0" w:space="0" w:color="auto"/>
            <w:left w:val="none" w:sz="0" w:space="0" w:color="auto"/>
            <w:bottom w:val="none" w:sz="0" w:space="0" w:color="auto"/>
            <w:right w:val="none" w:sz="0" w:space="0" w:color="auto"/>
          </w:divBdr>
        </w:div>
        <w:div w:id="1911188322">
          <w:marLeft w:val="0"/>
          <w:marRight w:val="0"/>
          <w:marTop w:val="0"/>
          <w:marBottom w:val="0"/>
          <w:divBdr>
            <w:top w:val="none" w:sz="0" w:space="0" w:color="auto"/>
            <w:left w:val="none" w:sz="0" w:space="0" w:color="auto"/>
            <w:bottom w:val="none" w:sz="0" w:space="0" w:color="auto"/>
            <w:right w:val="none" w:sz="0" w:space="0" w:color="auto"/>
          </w:divBdr>
        </w:div>
        <w:div w:id="1924485560">
          <w:marLeft w:val="0"/>
          <w:marRight w:val="0"/>
          <w:marTop w:val="0"/>
          <w:marBottom w:val="0"/>
          <w:divBdr>
            <w:top w:val="none" w:sz="0" w:space="0" w:color="auto"/>
            <w:left w:val="none" w:sz="0" w:space="0" w:color="auto"/>
            <w:bottom w:val="none" w:sz="0" w:space="0" w:color="auto"/>
            <w:right w:val="none" w:sz="0" w:space="0" w:color="auto"/>
          </w:divBdr>
        </w:div>
        <w:div w:id="1931811511">
          <w:marLeft w:val="0"/>
          <w:marRight w:val="0"/>
          <w:marTop w:val="0"/>
          <w:marBottom w:val="0"/>
          <w:divBdr>
            <w:top w:val="none" w:sz="0" w:space="0" w:color="auto"/>
            <w:left w:val="none" w:sz="0" w:space="0" w:color="auto"/>
            <w:bottom w:val="none" w:sz="0" w:space="0" w:color="auto"/>
            <w:right w:val="none" w:sz="0" w:space="0" w:color="auto"/>
          </w:divBdr>
        </w:div>
        <w:div w:id="1962031628">
          <w:marLeft w:val="0"/>
          <w:marRight w:val="0"/>
          <w:marTop w:val="0"/>
          <w:marBottom w:val="0"/>
          <w:divBdr>
            <w:top w:val="none" w:sz="0" w:space="0" w:color="auto"/>
            <w:left w:val="none" w:sz="0" w:space="0" w:color="auto"/>
            <w:bottom w:val="none" w:sz="0" w:space="0" w:color="auto"/>
            <w:right w:val="none" w:sz="0" w:space="0" w:color="auto"/>
          </w:divBdr>
        </w:div>
        <w:div w:id="1977291271">
          <w:marLeft w:val="0"/>
          <w:marRight w:val="0"/>
          <w:marTop w:val="0"/>
          <w:marBottom w:val="0"/>
          <w:divBdr>
            <w:top w:val="none" w:sz="0" w:space="0" w:color="auto"/>
            <w:left w:val="none" w:sz="0" w:space="0" w:color="auto"/>
            <w:bottom w:val="none" w:sz="0" w:space="0" w:color="auto"/>
            <w:right w:val="none" w:sz="0" w:space="0" w:color="auto"/>
          </w:divBdr>
        </w:div>
        <w:div w:id="1991055235">
          <w:marLeft w:val="0"/>
          <w:marRight w:val="0"/>
          <w:marTop w:val="0"/>
          <w:marBottom w:val="0"/>
          <w:divBdr>
            <w:top w:val="none" w:sz="0" w:space="0" w:color="auto"/>
            <w:left w:val="none" w:sz="0" w:space="0" w:color="auto"/>
            <w:bottom w:val="none" w:sz="0" w:space="0" w:color="auto"/>
            <w:right w:val="none" w:sz="0" w:space="0" w:color="auto"/>
          </w:divBdr>
        </w:div>
        <w:div w:id="1994024990">
          <w:marLeft w:val="0"/>
          <w:marRight w:val="0"/>
          <w:marTop w:val="0"/>
          <w:marBottom w:val="0"/>
          <w:divBdr>
            <w:top w:val="none" w:sz="0" w:space="0" w:color="auto"/>
            <w:left w:val="none" w:sz="0" w:space="0" w:color="auto"/>
            <w:bottom w:val="none" w:sz="0" w:space="0" w:color="auto"/>
            <w:right w:val="none" w:sz="0" w:space="0" w:color="auto"/>
          </w:divBdr>
        </w:div>
        <w:div w:id="2050110547">
          <w:marLeft w:val="0"/>
          <w:marRight w:val="0"/>
          <w:marTop w:val="0"/>
          <w:marBottom w:val="0"/>
          <w:divBdr>
            <w:top w:val="none" w:sz="0" w:space="0" w:color="auto"/>
            <w:left w:val="none" w:sz="0" w:space="0" w:color="auto"/>
            <w:bottom w:val="none" w:sz="0" w:space="0" w:color="auto"/>
            <w:right w:val="none" w:sz="0" w:space="0" w:color="auto"/>
          </w:divBdr>
        </w:div>
        <w:div w:id="2064521504">
          <w:marLeft w:val="0"/>
          <w:marRight w:val="0"/>
          <w:marTop w:val="0"/>
          <w:marBottom w:val="0"/>
          <w:divBdr>
            <w:top w:val="none" w:sz="0" w:space="0" w:color="auto"/>
            <w:left w:val="none" w:sz="0" w:space="0" w:color="auto"/>
            <w:bottom w:val="none" w:sz="0" w:space="0" w:color="auto"/>
            <w:right w:val="none" w:sz="0" w:space="0" w:color="auto"/>
          </w:divBdr>
        </w:div>
        <w:div w:id="2087727622">
          <w:marLeft w:val="0"/>
          <w:marRight w:val="0"/>
          <w:marTop w:val="0"/>
          <w:marBottom w:val="0"/>
          <w:divBdr>
            <w:top w:val="none" w:sz="0" w:space="0" w:color="auto"/>
            <w:left w:val="none" w:sz="0" w:space="0" w:color="auto"/>
            <w:bottom w:val="none" w:sz="0" w:space="0" w:color="auto"/>
            <w:right w:val="none" w:sz="0" w:space="0" w:color="auto"/>
          </w:divBdr>
        </w:div>
        <w:div w:id="2097289527">
          <w:marLeft w:val="0"/>
          <w:marRight w:val="0"/>
          <w:marTop w:val="0"/>
          <w:marBottom w:val="0"/>
          <w:divBdr>
            <w:top w:val="none" w:sz="0" w:space="0" w:color="auto"/>
            <w:left w:val="none" w:sz="0" w:space="0" w:color="auto"/>
            <w:bottom w:val="none" w:sz="0" w:space="0" w:color="auto"/>
            <w:right w:val="none" w:sz="0" w:space="0" w:color="auto"/>
          </w:divBdr>
        </w:div>
        <w:div w:id="2105565103">
          <w:marLeft w:val="0"/>
          <w:marRight w:val="0"/>
          <w:marTop w:val="0"/>
          <w:marBottom w:val="0"/>
          <w:divBdr>
            <w:top w:val="none" w:sz="0" w:space="0" w:color="auto"/>
            <w:left w:val="none" w:sz="0" w:space="0" w:color="auto"/>
            <w:bottom w:val="none" w:sz="0" w:space="0" w:color="auto"/>
            <w:right w:val="none" w:sz="0" w:space="0" w:color="auto"/>
          </w:divBdr>
        </w:div>
        <w:div w:id="2132553811">
          <w:marLeft w:val="0"/>
          <w:marRight w:val="0"/>
          <w:marTop w:val="0"/>
          <w:marBottom w:val="0"/>
          <w:divBdr>
            <w:top w:val="none" w:sz="0" w:space="0" w:color="auto"/>
            <w:left w:val="none" w:sz="0" w:space="0" w:color="auto"/>
            <w:bottom w:val="none" w:sz="0" w:space="0" w:color="auto"/>
            <w:right w:val="none" w:sz="0" w:space="0" w:color="auto"/>
          </w:divBdr>
        </w:div>
        <w:div w:id="2143225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gexpo.hu" TargetMode="External"/><Relationship Id="rId13" Type="http://schemas.openxmlformats.org/officeDocument/2006/relationships/hyperlink" Target="http://www.agromashexpo.hu" TargetMode="External"/><Relationship Id="rId18" Type="http://schemas.openxmlformats.org/officeDocument/2006/relationships/hyperlink" Target="http://www.beautyandstyle.h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construma@hungexpo.hu" TargetMode="External"/><Relationship Id="rId17" Type="http://schemas.openxmlformats.org/officeDocument/2006/relationships/hyperlink" Target="http://www.utazas.hungexpo.hu" TargetMode="External"/><Relationship Id="rId2" Type="http://schemas.openxmlformats.org/officeDocument/2006/relationships/styles" Target="styles.xml"/><Relationship Id="rId16" Type="http://schemas.openxmlformats.org/officeDocument/2006/relationships/hyperlink" Target="mailto:szilvasi.krisztina@hungexpo.hu" TargetMode="External"/><Relationship Id="rId20" Type="http://schemas.openxmlformats.org/officeDocument/2006/relationships/hyperlink" Target="mailto:hungexpo@hungexpo.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ngexpo@hungexpo.h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gromashexpo@hungexpo.hu" TargetMode="External"/><Relationship Id="rId23" Type="http://schemas.openxmlformats.org/officeDocument/2006/relationships/fontTable" Target="fontTable.xml"/><Relationship Id="rId10" Type="http://schemas.openxmlformats.org/officeDocument/2006/relationships/hyperlink" Target="https://hungarotherm.hu/en" TargetMode="External"/><Relationship Id="rId19" Type="http://schemas.openxmlformats.org/officeDocument/2006/relationships/hyperlink" Target="http://www.onewithnature2021.org/" TargetMode="External"/><Relationship Id="rId4" Type="http://schemas.openxmlformats.org/officeDocument/2006/relationships/webSettings" Target="webSettings.xml"/><Relationship Id="rId9" Type="http://schemas.openxmlformats.org/officeDocument/2006/relationships/hyperlink" Target="https://otthon-design.hu/en" TargetMode="External"/><Relationship Id="rId14" Type="http://schemas.openxmlformats.org/officeDocument/2006/relationships/hyperlink" Target="mailto:hungexpo@hungexpo.hu" TargetMode="External"/><Relationship Id="rId22"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5979</Words>
  <Characters>32289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38192</CharactersWithSpaces>
  <SharedDoc>false</SharedDoc>
  <HLinks>
    <vt:vector size="78" baseType="variant">
      <vt:variant>
        <vt:i4>6029426</vt:i4>
      </vt:variant>
      <vt:variant>
        <vt:i4>33</vt:i4>
      </vt:variant>
      <vt:variant>
        <vt:i4>0</vt:i4>
      </vt:variant>
      <vt:variant>
        <vt:i4>5</vt:i4>
      </vt:variant>
      <vt:variant>
        <vt:lpwstr>mailto:hungexpo@hungexpo.hu</vt:lpwstr>
      </vt:variant>
      <vt:variant>
        <vt:lpwstr/>
      </vt:variant>
      <vt:variant>
        <vt:i4>5767177</vt:i4>
      </vt:variant>
      <vt:variant>
        <vt:i4>30</vt:i4>
      </vt:variant>
      <vt:variant>
        <vt:i4>0</vt:i4>
      </vt:variant>
      <vt:variant>
        <vt:i4>5</vt:i4>
      </vt:variant>
      <vt:variant>
        <vt:lpwstr>http://www.onewithnature2021.org/</vt:lpwstr>
      </vt:variant>
      <vt:variant>
        <vt:lpwstr/>
      </vt:variant>
      <vt:variant>
        <vt:i4>1704016</vt:i4>
      </vt:variant>
      <vt:variant>
        <vt:i4>27</vt:i4>
      </vt:variant>
      <vt:variant>
        <vt:i4>0</vt:i4>
      </vt:variant>
      <vt:variant>
        <vt:i4>5</vt:i4>
      </vt:variant>
      <vt:variant>
        <vt:lpwstr>http://www.beautyandstyle.hu/</vt:lpwstr>
      </vt:variant>
      <vt:variant>
        <vt:lpwstr/>
      </vt:variant>
      <vt:variant>
        <vt:i4>3276901</vt:i4>
      </vt:variant>
      <vt:variant>
        <vt:i4>24</vt:i4>
      </vt:variant>
      <vt:variant>
        <vt:i4>0</vt:i4>
      </vt:variant>
      <vt:variant>
        <vt:i4>5</vt:i4>
      </vt:variant>
      <vt:variant>
        <vt:lpwstr>http://www.utazas.hungexpo.hu/</vt:lpwstr>
      </vt:variant>
      <vt:variant>
        <vt:lpwstr/>
      </vt:variant>
      <vt:variant>
        <vt:i4>6619161</vt:i4>
      </vt:variant>
      <vt:variant>
        <vt:i4>21</vt:i4>
      </vt:variant>
      <vt:variant>
        <vt:i4>0</vt:i4>
      </vt:variant>
      <vt:variant>
        <vt:i4>5</vt:i4>
      </vt:variant>
      <vt:variant>
        <vt:lpwstr>mailto:szilvasi.krisztina@hungexpo.hu</vt:lpwstr>
      </vt:variant>
      <vt:variant>
        <vt:lpwstr/>
      </vt:variant>
      <vt:variant>
        <vt:i4>5701729</vt:i4>
      </vt:variant>
      <vt:variant>
        <vt:i4>18</vt:i4>
      </vt:variant>
      <vt:variant>
        <vt:i4>0</vt:i4>
      </vt:variant>
      <vt:variant>
        <vt:i4>5</vt:i4>
      </vt:variant>
      <vt:variant>
        <vt:lpwstr>mailto:agromashexpo@hungexpo.hu</vt:lpwstr>
      </vt:variant>
      <vt:variant>
        <vt:lpwstr/>
      </vt:variant>
      <vt:variant>
        <vt:i4>6029426</vt:i4>
      </vt:variant>
      <vt:variant>
        <vt:i4>15</vt:i4>
      </vt:variant>
      <vt:variant>
        <vt:i4>0</vt:i4>
      </vt:variant>
      <vt:variant>
        <vt:i4>5</vt:i4>
      </vt:variant>
      <vt:variant>
        <vt:lpwstr>mailto:hungexpo@hungexpo.hu</vt:lpwstr>
      </vt:variant>
      <vt:variant>
        <vt:lpwstr/>
      </vt:variant>
      <vt:variant>
        <vt:i4>6815790</vt:i4>
      </vt:variant>
      <vt:variant>
        <vt:i4>12</vt:i4>
      </vt:variant>
      <vt:variant>
        <vt:i4>0</vt:i4>
      </vt:variant>
      <vt:variant>
        <vt:i4>5</vt:i4>
      </vt:variant>
      <vt:variant>
        <vt:lpwstr>http://www.agromashexpo.hu/</vt:lpwstr>
      </vt:variant>
      <vt:variant>
        <vt:lpwstr/>
      </vt:variant>
      <vt:variant>
        <vt:i4>4653156</vt:i4>
      </vt:variant>
      <vt:variant>
        <vt:i4>9</vt:i4>
      </vt:variant>
      <vt:variant>
        <vt:i4>0</vt:i4>
      </vt:variant>
      <vt:variant>
        <vt:i4>5</vt:i4>
      </vt:variant>
      <vt:variant>
        <vt:lpwstr>mailto:construma@hungexpo.hu</vt:lpwstr>
      </vt:variant>
      <vt:variant>
        <vt:lpwstr/>
      </vt:variant>
      <vt:variant>
        <vt:i4>6029426</vt:i4>
      </vt:variant>
      <vt:variant>
        <vt:i4>6</vt:i4>
      </vt:variant>
      <vt:variant>
        <vt:i4>0</vt:i4>
      </vt:variant>
      <vt:variant>
        <vt:i4>5</vt:i4>
      </vt:variant>
      <vt:variant>
        <vt:lpwstr>mailto:hungexpo@hungexpo.hu</vt:lpwstr>
      </vt:variant>
      <vt:variant>
        <vt:lpwstr/>
      </vt:variant>
      <vt:variant>
        <vt:i4>2359404</vt:i4>
      </vt:variant>
      <vt:variant>
        <vt:i4>3</vt:i4>
      </vt:variant>
      <vt:variant>
        <vt:i4>0</vt:i4>
      </vt:variant>
      <vt:variant>
        <vt:i4>5</vt:i4>
      </vt:variant>
      <vt:variant>
        <vt:lpwstr>https://hungarotherm.hu/en</vt:lpwstr>
      </vt:variant>
      <vt:variant>
        <vt:lpwstr/>
      </vt:variant>
      <vt:variant>
        <vt:i4>2949180</vt:i4>
      </vt:variant>
      <vt:variant>
        <vt:i4>0</vt:i4>
      </vt:variant>
      <vt:variant>
        <vt:i4>0</vt:i4>
      </vt:variant>
      <vt:variant>
        <vt:i4>5</vt:i4>
      </vt:variant>
      <vt:variant>
        <vt:lpwstr>https://otthon-design.hu/en</vt:lpwstr>
      </vt:variant>
      <vt:variant>
        <vt:lpwstr/>
      </vt:variant>
      <vt:variant>
        <vt:i4>6488125</vt:i4>
      </vt:variant>
      <vt:variant>
        <vt:i4>0</vt:i4>
      </vt:variant>
      <vt:variant>
        <vt:i4>0</vt:i4>
      </vt:variant>
      <vt:variant>
        <vt:i4>5</vt:i4>
      </vt:variant>
      <vt:variant>
        <vt:lpwstr>http://www.hungexpo.hu/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apostolos tsiakalos</cp:lastModifiedBy>
  <cp:revision>2</cp:revision>
  <cp:lastPrinted>2021-05-06T10:57:00Z</cp:lastPrinted>
  <dcterms:created xsi:type="dcterms:W3CDTF">2021-05-06T13:12:00Z</dcterms:created>
  <dcterms:modified xsi:type="dcterms:W3CDTF">2021-05-06T13:12:00Z</dcterms:modified>
</cp:coreProperties>
</file>