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Accent4"/>
        <w:tblW w:w="10207" w:type="dxa"/>
        <w:tblInd w:w="-601" w:type="dxa"/>
        <w:tblLayout w:type="fixed"/>
        <w:tblLook w:val="04A0" w:firstRow="1" w:lastRow="0" w:firstColumn="1" w:lastColumn="0" w:noHBand="0" w:noVBand="1"/>
      </w:tblPr>
      <w:tblGrid>
        <w:gridCol w:w="10207"/>
      </w:tblGrid>
      <w:tr w:rsidR="003C036E" w:rsidRPr="00404793" w:rsidTr="005A5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Pr>
          <w:p w:rsidR="00FF31F7" w:rsidRDefault="003C036E">
            <w:pPr>
              <w:rPr>
                <w:rFonts w:ascii="Arial Black" w:hAnsi="Arial Black"/>
                <w:lang w:val="el-GR"/>
              </w:rPr>
            </w:pPr>
            <w:r w:rsidRPr="003C036E">
              <w:rPr>
                <w:rFonts w:ascii="Arial Black" w:hAnsi="Arial Black"/>
                <w:lang w:val="el-GR"/>
              </w:rPr>
              <w:t xml:space="preserve">          </w:t>
            </w:r>
            <w:r>
              <w:rPr>
                <w:rFonts w:ascii="Arial Black" w:hAnsi="Arial Black"/>
                <w:lang w:val="el-GR"/>
              </w:rPr>
              <w:t xml:space="preserve">      </w:t>
            </w:r>
            <w:r w:rsidR="00060376">
              <w:rPr>
                <w:rFonts w:ascii="Arial Black" w:hAnsi="Arial Black"/>
                <w:lang w:val="el-GR"/>
              </w:rPr>
              <w:t xml:space="preserve">        </w:t>
            </w:r>
            <w:r w:rsidR="00C33288">
              <w:rPr>
                <w:rFonts w:ascii="Arial Black" w:hAnsi="Arial Black"/>
                <w:lang w:val="el-GR"/>
              </w:rPr>
              <w:t xml:space="preserve"> </w:t>
            </w:r>
            <w:r w:rsidR="00FF31F7">
              <w:rPr>
                <w:rFonts w:ascii="Arial Black" w:hAnsi="Arial Black"/>
                <w:lang w:val="el-GR"/>
              </w:rPr>
              <w:t xml:space="preserve">                 ΓΡΑΦΕΙΟ ΟΕΥ ΣΙΓΚΑΠΟΥΡΗΣ </w:t>
            </w:r>
          </w:p>
          <w:p w:rsidR="003C036E" w:rsidRDefault="00FF31F7">
            <w:pPr>
              <w:rPr>
                <w:rFonts w:ascii="Arial Black" w:hAnsi="Arial Black"/>
                <w:lang w:val="el-GR"/>
              </w:rPr>
            </w:pPr>
            <w:r>
              <w:rPr>
                <w:rFonts w:ascii="Arial Black" w:hAnsi="Arial Black"/>
                <w:lang w:val="el-GR"/>
              </w:rPr>
              <w:t xml:space="preserve">                       </w:t>
            </w:r>
            <w:r w:rsidR="003C036E" w:rsidRPr="003C036E">
              <w:rPr>
                <w:rFonts w:ascii="Arial Black" w:hAnsi="Arial Black"/>
                <w:lang w:val="el-GR"/>
              </w:rPr>
              <w:t xml:space="preserve">ΔΕΛΤΙΟ ΟΙΚΟΝΟΜΙΚΩΝ ΕΙΔΗΣΕΩΝ ΣΙΓΚΑΠΟΥΡΗΣ </w:t>
            </w:r>
          </w:p>
          <w:p w:rsidR="003C036E" w:rsidRDefault="003C036E">
            <w:pPr>
              <w:rPr>
                <w:rFonts w:ascii="Arial Black" w:hAnsi="Arial Black"/>
                <w:lang w:val="el-GR"/>
              </w:rPr>
            </w:pPr>
            <w:r>
              <w:rPr>
                <w:rFonts w:ascii="Arial Black" w:hAnsi="Arial Black"/>
                <w:lang w:val="el-GR"/>
              </w:rPr>
              <w:t xml:space="preserve">                         </w:t>
            </w:r>
            <w:r w:rsidR="00EA2EC5">
              <w:rPr>
                <w:rFonts w:ascii="Arial Black" w:hAnsi="Arial Black"/>
                <w:lang w:val="el-GR"/>
              </w:rPr>
              <w:t xml:space="preserve">        </w:t>
            </w:r>
            <w:r w:rsidR="00904BB0">
              <w:rPr>
                <w:rFonts w:ascii="Arial Black" w:hAnsi="Arial Black"/>
                <w:lang w:val="el-GR"/>
              </w:rPr>
              <w:t xml:space="preserve">         </w:t>
            </w:r>
            <w:r w:rsidR="007111B5">
              <w:rPr>
                <w:rFonts w:ascii="Arial Black" w:hAnsi="Arial Black"/>
                <w:lang w:val="el-GR"/>
              </w:rPr>
              <w:t>ΜΑΙΟΣ</w:t>
            </w:r>
            <w:r w:rsidR="00904BB0">
              <w:rPr>
                <w:rFonts w:ascii="Arial Black" w:hAnsi="Arial Black"/>
                <w:lang w:val="el-GR"/>
              </w:rPr>
              <w:t xml:space="preserve"> </w:t>
            </w:r>
            <w:r w:rsidR="00EA2EC5">
              <w:rPr>
                <w:rFonts w:ascii="Arial Black" w:hAnsi="Arial Black"/>
                <w:lang w:val="el-GR"/>
              </w:rPr>
              <w:t xml:space="preserve"> 2019</w:t>
            </w:r>
            <w:r w:rsidR="00650F80">
              <w:rPr>
                <w:rFonts w:ascii="Arial Black" w:hAnsi="Arial Black"/>
                <w:lang w:val="el-GR"/>
              </w:rPr>
              <w:t xml:space="preserve"> (Τεύχος</w:t>
            </w:r>
            <w:r w:rsidR="007037E4">
              <w:rPr>
                <w:rFonts w:ascii="Arial Black" w:hAnsi="Arial Black"/>
                <w:lang w:val="el-GR"/>
              </w:rPr>
              <w:t xml:space="preserve"> </w:t>
            </w:r>
            <w:r w:rsidR="00B10494">
              <w:rPr>
                <w:rFonts w:ascii="Arial Black" w:hAnsi="Arial Black"/>
                <w:lang w:val="el-GR"/>
              </w:rPr>
              <w:t>8</w:t>
            </w:r>
            <w:r w:rsidR="00FF31F7">
              <w:rPr>
                <w:rFonts w:ascii="Arial Black" w:hAnsi="Arial Black"/>
                <w:lang w:val="el-GR"/>
              </w:rPr>
              <w:t>)</w:t>
            </w:r>
          </w:p>
          <w:p w:rsidR="005053D5" w:rsidRPr="005053D5" w:rsidRDefault="005053D5">
            <w:pPr>
              <w:rPr>
                <w:i/>
                <w:sz w:val="20"/>
                <w:szCs w:val="20"/>
                <w:lang w:val="el-GR"/>
              </w:rPr>
            </w:pPr>
            <w:r>
              <w:rPr>
                <w:lang w:val="el-GR"/>
              </w:rPr>
              <w:t xml:space="preserve">                                     </w:t>
            </w:r>
            <w:r w:rsidR="0087131D">
              <w:rPr>
                <w:lang w:val="el-GR"/>
              </w:rPr>
              <w:t xml:space="preserve">  </w:t>
            </w:r>
            <w:r w:rsidRPr="005053D5">
              <w:rPr>
                <w:i/>
                <w:sz w:val="20"/>
                <w:szCs w:val="20"/>
                <w:lang w:val="el-GR"/>
              </w:rPr>
              <w:t>ΣΥΝΤΑΞΗ/ ΕΠΙΜΕΛΕΙΑ: ΒΑΣΙΛΙΚΗ Δ. ΚΟΥΣΚΟΥΤΗ, Γραμματέας ΟΕΥΑ΄</w:t>
            </w:r>
          </w:p>
          <w:p w:rsidR="003C036E" w:rsidRPr="00060376" w:rsidRDefault="003C036E">
            <w:pPr>
              <w:rPr>
                <w:lang w:val="el-GR"/>
              </w:rPr>
            </w:pPr>
            <w:r>
              <w:rPr>
                <w:noProof/>
                <w:lang w:eastAsia="en-SG"/>
              </w:rPr>
              <w:drawing>
                <wp:inline distT="0" distB="0" distL="0" distR="0" wp14:anchorId="122ADEAC" wp14:editId="11AD1E77">
                  <wp:extent cx="6862119" cy="3377514"/>
                  <wp:effectExtent l="0" t="0" r="0" b="0"/>
                  <wp:docPr id="2" name="Picture 2" descr="Αποτέλεσμα εικόνας για ΦΩΤΟ ΣΙΓΚΑΠΟΥΡ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ΦΩΤΟ ΣΙΓΚΑΠΟΥΡΗ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9567" cy="3381180"/>
                          </a:xfrm>
                          <a:prstGeom prst="rect">
                            <a:avLst/>
                          </a:prstGeom>
                          <a:noFill/>
                          <a:ln>
                            <a:noFill/>
                          </a:ln>
                        </pic:spPr>
                      </pic:pic>
                    </a:graphicData>
                  </a:graphic>
                </wp:inline>
              </w:drawing>
            </w:r>
            <w:r w:rsidR="00060376">
              <w:rPr>
                <w:lang w:val="el-GR"/>
              </w:rPr>
              <w:t xml:space="preserve">                                 </w:t>
            </w:r>
          </w:p>
          <w:p w:rsidR="003C036E" w:rsidRPr="003C036E" w:rsidRDefault="003C036E">
            <w:pPr>
              <w:rPr>
                <w:lang w:val="el-GR"/>
              </w:rPr>
            </w:pPr>
          </w:p>
        </w:tc>
      </w:tr>
      <w:tr w:rsidR="00912125" w:rsidRPr="00BF25DD" w:rsidTr="00452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Pr>
          <w:p w:rsidR="0033511C" w:rsidRPr="005053D5" w:rsidRDefault="00404793" w:rsidP="006A0793">
            <w:pPr>
              <w:rPr>
                <w:rFonts w:ascii="Arial Black" w:hAnsi="Arial Black"/>
                <w:sz w:val="28"/>
                <w:szCs w:val="28"/>
                <w:lang w:val="el-GR"/>
              </w:rPr>
            </w:pPr>
            <w:r>
              <w:rPr>
                <w:rFonts w:ascii="Arial Black" w:hAnsi="Arial Black"/>
                <w:lang w:val="el-GR"/>
              </w:rPr>
              <w:t xml:space="preserve">                                         </w:t>
            </w:r>
            <w:r w:rsidRPr="005053D5">
              <w:rPr>
                <w:rFonts w:ascii="Arial Black" w:hAnsi="Arial Black"/>
                <w:sz w:val="28"/>
                <w:szCs w:val="28"/>
                <w:lang w:val="el-GR"/>
              </w:rPr>
              <w:t xml:space="preserve">ΟΙΚΟΝΟΜΙΑ ΣΙΓΚΑΠΟΥΡΗΣ </w:t>
            </w:r>
          </w:p>
        </w:tc>
      </w:tr>
      <w:tr w:rsidR="005053D5" w:rsidRPr="00703172" w:rsidTr="004522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Pr>
          <w:p w:rsidR="00AE5440" w:rsidRPr="00116536" w:rsidRDefault="005053D5" w:rsidP="00AE5440">
            <w:pPr>
              <w:spacing w:before="100" w:beforeAutospacing="1" w:after="100" w:afterAutospacing="1"/>
              <w:jc w:val="both"/>
              <w:outlineLvl w:val="0"/>
              <w:rPr>
                <w:rFonts w:ascii="Arial" w:hAnsi="Arial" w:cs="Arial"/>
                <w:b w:val="0"/>
                <w:sz w:val="16"/>
                <w:szCs w:val="16"/>
                <w:lang w:val="el-GR"/>
              </w:rPr>
            </w:pPr>
            <w:r w:rsidRPr="00AE5440">
              <w:rPr>
                <w:rFonts w:ascii="Arial" w:hAnsi="Arial" w:cs="Arial"/>
                <w:sz w:val="20"/>
                <w:szCs w:val="20"/>
                <w:lang w:val="el-GR"/>
              </w:rPr>
              <w:t>1.</w:t>
            </w:r>
            <w:r w:rsidR="00215C3A" w:rsidRPr="00AE5440">
              <w:rPr>
                <w:rFonts w:ascii="Times New Roman" w:eastAsia="Times New Roman" w:hAnsi="Times New Roman" w:cs="Times New Roman"/>
                <w:b w:val="0"/>
                <w:bCs w:val="0"/>
                <w:kern w:val="36"/>
                <w:sz w:val="20"/>
                <w:szCs w:val="20"/>
                <w:lang w:val="el-GR" w:eastAsia="en-SG"/>
              </w:rPr>
              <w:t xml:space="preserve"> </w:t>
            </w:r>
            <w:r w:rsidR="00AE5440" w:rsidRPr="00AE5440">
              <w:rPr>
                <w:rFonts w:ascii="Arial" w:eastAsia="Times New Roman" w:hAnsi="Arial" w:cs="Arial"/>
                <w:sz w:val="20"/>
                <w:szCs w:val="20"/>
                <w:lang w:val="el-GR" w:eastAsia="en-SG"/>
              </w:rPr>
              <w:t>ΠΤΩΣΗ ΤΩΝ ΜΗ ΠΕΤΡΕΛΑ</w:t>
            </w:r>
            <w:r w:rsidR="00AE5440">
              <w:rPr>
                <w:rFonts w:ascii="Arial" w:eastAsia="Times New Roman" w:hAnsi="Arial" w:cs="Arial"/>
                <w:sz w:val="20"/>
                <w:szCs w:val="20"/>
                <w:lang w:val="el-GR" w:eastAsia="en-SG"/>
              </w:rPr>
              <w:t>Ϊ</w:t>
            </w:r>
            <w:r w:rsidR="00AE5440" w:rsidRPr="00AE5440">
              <w:rPr>
                <w:rFonts w:ascii="Arial" w:eastAsia="Times New Roman" w:hAnsi="Arial" w:cs="Arial"/>
                <w:sz w:val="20"/>
                <w:szCs w:val="20"/>
                <w:lang w:val="el-GR" w:eastAsia="en-SG"/>
              </w:rPr>
              <w:t>ΚΩΝ ΕΞΑΓΩΓΩΝ ΤΟΝ ΑΠΡΙΛΙΟ</w:t>
            </w:r>
            <w:r w:rsidR="008D6AE3">
              <w:rPr>
                <w:rFonts w:ascii="Arial" w:eastAsia="Times New Roman" w:hAnsi="Arial" w:cs="Arial"/>
                <w:sz w:val="20"/>
                <w:szCs w:val="20"/>
                <w:lang w:val="el-GR" w:eastAsia="en-SG"/>
              </w:rPr>
              <w:t>.</w:t>
            </w:r>
            <w:r w:rsidR="00AE5440" w:rsidRPr="00AE5440">
              <w:rPr>
                <w:rFonts w:ascii="Arial" w:eastAsia="Times New Roman" w:hAnsi="Arial" w:cs="Arial"/>
                <w:b w:val="0"/>
                <w:sz w:val="20"/>
                <w:szCs w:val="20"/>
                <w:lang w:val="el-GR" w:eastAsia="en-SG"/>
              </w:rPr>
              <w:t xml:space="preserve"> </w:t>
            </w:r>
            <w:r w:rsidR="00AE5440" w:rsidRPr="00AE5440">
              <w:rPr>
                <w:rFonts w:ascii="Arial" w:hAnsi="Arial" w:cs="Arial"/>
                <w:b w:val="0"/>
                <w:sz w:val="20"/>
                <w:szCs w:val="20"/>
                <w:lang w:val="el-GR"/>
              </w:rPr>
              <w:t xml:space="preserve">Οι εγχώριες </w:t>
            </w:r>
            <w:r w:rsidR="00AE5440" w:rsidRPr="00AE5440">
              <w:rPr>
                <w:rFonts w:ascii="Arial" w:eastAsia="Times New Roman" w:hAnsi="Arial" w:cs="Arial"/>
                <w:b w:val="0"/>
                <w:sz w:val="20"/>
                <w:szCs w:val="20"/>
                <w:lang w:val="el-GR" w:eastAsia="en-SG"/>
              </w:rPr>
              <w:t xml:space="preserve">μη πετρελαϊκές εξαγωγές </w:t>
            </w:r>
            <w:r w:rsidR="00AE5440" w:rsidRPr="00AE5440">
              <w:rPr>
                <w:rFonts w:ascii="Arial" w:hAnsi="Arial" w:cs="Arial"/>
                <w:b w:val="0"/>
                <w:sz w:val="20"/>
                <w:szCs w:val="20"/>
                <w:lang w:val="el-GR"/>
              </w:rPr>
              <w:t>(</w:t>
            </w:r>
            <w:proofErr w:type="spellStart"/>
            <w:r w:rsidR="00AE5440" w:rsidRPr="00AE5440">
              <w:rPr>
                <w:rFonts w:ascii="Arial" w:hAnsi="Arial" w:cs="Arial"/>
                <w:b w:val="0"/>
                <w:sz w:val="20"/>
                <w:szCs w:val="20"/>
              </w:rPr>
              <w:t>Nodx</w:t>
            </w:r>
            <w:proofErr w:type="spellEnd"/>
            <w:r w:rsidR="00AE5440" w:rsidRPr="00AE5440">
              <w:rPr>
                <w:rFonts w:ascii="Arial" w:hAnsi="Arial" w:cs="Arial"/>
                <w:b w:val="0"/>
                <w:sz w:val="20"/>
                <w:szCs w:val="20"/>
                <w:lang w:val="el-GR"/>
              </w:rPr>
              <w:t>) της Σιγκαπούρης μειώθηκαν κατά 10%  τον Απρίλιο (</w:t>
            </w:r>
            <w:proofErr w:type="spellStart"/>
            <w:r w:rsidR="00AE5440" w:rsidRPr="00AE5440">
              <w:rPr>
                <w:rFonts w:ascii="Arial" w:hAnsi="Arial" w:cs="Arial"/>
                <w:b w:val="0"/>
                <w:sz w:val="20"/>
                <w:szCs w:val="20"/>
                <w:lang w:val="el-GR"/>
              </w:rPr>
              <w:t>ε.β</w:t>
            </w:r>
            <w:proofErr w:type="spellEnd"/>
            <w:r w:rsidR="00AE5440" w:rsidRPr="00AE5440">
              <w:rPr>
                <w:rFonts w:ascii="Arial" w:hAnsi="Arial" w:cs="Arial"/>
                <w:b w:val="0"/>
                <w:sz w:val="20"/>
                <w:szCs w:val="20"/>
                <w:lang w:val="el-GR"/>
              </w:rPr>
              <w:t>.), συνεχίζοντας την πτωτική πορεία που σημείωσαν κατά 11,8% το Μάρτιο, σύμφωνα με στοιχεία που δημοσίευσε στις 17/5/2019 το</w:t>
            </w:r>
            <w:r w:rsidR="00AE5440" w:rsidRPr="00AE5440">
              <w:rPr>
                <w:rFonts w:ascii="Arial" w:eastAsia="Times New Roman" w:hAnsi="Arial" w:cs="Arial"/>
                <w:b w:val="0"/>
                <w:sz w:val="20"/>
                <w:szCs w:val="20"/>
                <w:lang w:val="el-GR" w:eastAsia="en-SG"/>
              </w:rPr>
              <w:t xml:space="preserve"> </w:t>
            </w:r>
            <w:r w:rsidR="00AE5440" w:rsidRPr="00AE5440">
              <w:rPr>
                <w:rFonts w:ascii="Arial" w:eastAsia="Times New Roman" w:hAnsi="Arial" w:cs="Arial"/>
                <w:b w:val="0"/>
                <w:sz w:val="20"/>
                <w:szCs w:val="20"/>
                <w:lang w:eastAsia="en-SG"/>
              </w:rPr>
              <w:t>Enterprise</w:t>
            </w:r>
            <w:r w:rsidR="00AE5440" w:rsidRPr="00AE5440">
              <w:rPr>
                <w:rFonts w:ascii="Arial" w:eastAsia="Times New Roman" w:hAnsi="Arial" w:cs="Arial"/>
                <w:b w:val="0"/>
                <w:sz w:val="20"/>
                <w:szCs w:val="20"/>
                <w:lang w:val="el-GR" w:eastAsia="en-SG"/>
              </w:rPr>
              <w:t xml:space="preserve"> </w:t>
            </w:r>
            <w:r w:rsidR="00AE5440" w:rsidRPr="00AE5440">
              <w:rPr>
                <w:rFonts w:ascii="Arial" w:eastAsia="Times New Roman" w:hAnsi="Arial" w:cs="Arial"/>
                <w:b w:val="0"/>
                <w:sz w:val="20"/>
                <w:szCs w:val="20"/>
                <w:lang w:eastAsia="en-SG"/>
              </w:rPr>
              <w:t>Singapore</w:t>
            </w:r>
            <w:r w:rsidR="00AE5440" w:rsidRPr="00AE5440">
              <w:rPr>
                <w:rFonts w:ascii="Arial" w:eastAsia="Times New Roman" w:hAnsi="Arial" w:cs="Arial"/>
                <w:b w:val="0"/>
                <w:sz w:val="20"/>
                <w:szCs w:val="20"/>
                <w:lang w:val="el-GR" w:eastAsia="en-SG"/>
              </w:rPr>
              <w:t>.</w:t>
            </w:r>
            <w:r w:rsidR="00AE5440">
              <w:rPr>
                <w:rFonts w:ascii="Arial" w:eastAsia="Times New Roman" w:hAnsi="Arial" w:cs="Arial"/>
                <w:b w:val="0"/>
                <w:sz w:val="20"/>
                <w:szCs w:val="20"/>
                <w:lang w:val="el-GR" w:eastAsia="en-SG"/>
              </w:rPr>
              <w:t xml:space="preserve"> </w:t>
            </w:r>
            <w:r w:rsidR="00AE5440" w:rsidRPr="00AE5440">
              <w:rPr>
                <w:rFonts w:ascii="Arial" w:eastAsia="Times New Roman" w:hAnsi="Arial" w:cs="Arial"/>
                <w:b w:val="0"/>
                <w:sz w:val="20"/>
                <w:szCs w:val="20"/>
                <w:lang w:val="el-GR" w:eastAsia="en-SG"/>
              </w:rPr>
              <w:t xml:space="preserve">Σημειώνεται ότι τον </w:t>
            </w:r>
            <w:r w:rsidR="00AE5440" w:rsidRPr="00AE5440">
              <w:rPr>
                <w:rFonts w:ascii="Arial" w:hAnsi="Arial" w:cs="Arial"/>
                <w:b w:val="0"/>
                <w:sz w:val="20"/>
                <w:szCs w:val="20"/>
                <w:lang w:val="el-GR"/>
              </w:rPr>
              <w:t xml:space="preserve">Μάρτιο σημειώθηκε η μεγαλύτερη μηνιαία πτώση του </w:t>
            </w:r>
            <w:proofErr w:type="spellStart"/>
            <w:r w:rsidR="00AE5440" w:rsidRPr="00AE5440">
              <w:rPr>
                <w:rFonts w:ascii="Arial" w:hAnsi="Arial" w:cs="Arial"/>
                <w:b w:val="0"/>
                <w:sz w:val="20"/>
                <w:szCs w:val="20"/>
              </w:rPr>
              <w:t>Nodx</w:t>
            </w:r>
            <w:proofErr w:type="spellEnd"/>
            <w:r w:rsidR="00AE5440" w:rsidRPr="00AE5440">
              <w:rPr>
                <w:rFonts w:ascii="Arial" w:hAnsi="Arial" w:cs="Arial"/>
                <w:b w:val="0"/>
                <w:sz w:val="20"/>
                <w:szCs w:val="20"/>
                <w:lang w:val="el-GR"/>
              </w:rPr>
              <w:t xml:space="preserve"> από τον  Οκτώβριο του 2016.  Ο Απρίλιος ξεπέρασε κατά πολύ τις προβλέψεις των αναλυτών, οι οποίες έκαναν λόγο για πτώση της τάξεως του 4,6% για τις ηλεκτρονικές και μη ηλεκτρονικές εξαγωγές.  Η πτώση ανήλθε στο 16,3% μειωμένη σε σχέση με αυτήν του Μάρτη, η οποία ανήλθε στο 26,7%. Ως προς τις ηλεκτρονικές εξαγωγές τη μεγαλύτερη συρρίκνωση σημείωσαν: τα ολοκληρωμένα κυκλώματα (-21,2%), </w:t>
            </w:r>
            <w:r w:rsidR="00AE5440">
              <w:rPr>
                <w:rFonts w:ascii="Arial" w:hAnsi="Arial" w:cs="Arial"/>
                <w:b w:val="0"/>
                <w:sz w:val="20"/>
                <w:szCs w:val="20"/>
                <w:lang w:val="el-GR"/>
              </w:rPr>
              <w:t xml:space="preserve">οι </w:t>
            </w:r>
            <w:r w:rsidR="00AE5440" w:rsidRPr="00AE5440">
              <w:rPr>
                <w:rFonts w:ascii="Arial" w:hAnsi="Arial" w:cs="Arial"/>
                <w:b w:val="0"/>
                <w:sz w:val="20"/>
                <w:szCs w:val="20"/>
                <w:lang w:val="el-GR"/>
              </w:rPr>
              <w:t xml:space="preserve">δίσκοι (-31,3%) και τα τμήματα ολοκληρωμένων κυκλωμάτων </w:t>
            </w:r>
            <w:r w:rsidR="00AE5440">
              <w:rPr>
                <w:rFonts w:ascii="Arial" w:eastAsia="Times New Roman" w:hAnsi="Arial" w:cs="Arial"/>
                <w:b w:val="0"/>
                <w:sz w:val="20"/>
                <w:szCs w:val="20"/>
                <w:lang w:val="el-GR" w:eastAsia="en-SG"/>
              </w:rPr>
              <w:t>(-51,</w:t>
            </w:r>
            <w:r w:rsidR="00AE5440" w:rsidRPr="00AE5440">
              <w:rPr>
                <w:rFonts w:ascii="Arial" w:eastAsia="Times New Roman" w:hAnsi="Arial" w:cs="Arial"/>
                <w:b w:val="0"/>
                <w:sz w:val="20"/>
                <w:szCs w:val="20"/>
                <w:lang w:val="el-GR" w:eastAsia="en-SG"/>
              </w:rPr>
              <w:t>7%)</w:t>
            </w:r>
            <w:r w:rsidR="00AE5440" w:rsidRPr="00AE5440">
              <w:rPr>
                <w:rFonts w:ascii="Arial" w:hAnsi="Arial" w:cs="Arial"/>
                <w:b w:val="0"/>
                <w:sz w:val="20"/>
                <w:szCs w:val="20"/>
                <w:lang w:val="el-GR"/>
              </w:rPr>
              <w:t xml:space="preserve">.  Οι μη ηλεκτρονικές εξαγωγές μειώθηκαν κατά 7,9%, μετά την πτώση κατά 7,1% </w:t>
            </w:r>
            <w:r w:rsidR="00AE5440">
              <w:rPr>
                <w:rFonts w:ascii="Arial" w:hAnsi="Arial" w:cs="Arial"/>
                <w:b w:val="0"/>
                <w:sz w:val="20"/>
                <w:szCs w:val="20"/>
                <w:lang w:val="el-GR"/>
              </w:rPr>
              <w:t xml:space="preserve">του </w:t>
            </w:r>
            <w:r w:rsidR="00AE5440" w:rsidRPr="00AE5440">
              <w:rPr>
                <w:rFonts w:ascii="Arial" w:hAnsi="Arial" w:cs="Arial"/>
                <w:b w:val="0"/>
                <w:sz w:val="20"/>
                <w:szCs w:val="20"/>
                <w:lang w:val="el-GR"/>
              </w:rPr>
              <w:t>Μ</w:t>
            </w:r>
            <w:r w:rsidR="00AE5440">
              <w:rPr>
                <w:rFonts w:ascii="Arial" w:hAnsi="Arial" w:cs="Arial"/>
                <w:b w:val="0"/>
                <w:sz w:val="20"/>
                <w:szCs w:val="20"/>
                <w:lang w:val="el-GR"/>
              </w:rPr>
              <w:t>αρτίου</w:t>
            </w:r>
            <w:r w:rsidR="00AE5440" w:rsidRPr="00AE5440">
              <w:rPr>
                <w:rFonts w:ascii="Arial" w:hAnsi="Arial" w:cs="Arial"/>
                <w:b w:val="0"/>
                <w:sz w:val="20"/>
                <w:szCs w:val="20"/>
                <w:lang w:val="el-GR"/>
              </w:rPr>
              <w:t>. Αυτό οφειλόταν κυρίως στις εξαγωγές φαρμακευτικών προϊόντων (-46,6%), εξειδικευμένων μηχανημάτων (-22,7%) και πετροχημικών (-13,6%).</w:t>
            </w:r>
            <w:r w:rsidR="00AE5440" w:rsidRPr="00AE5440">
              <w:rPr>
                <w:rFonts w:ascii="Arial" w:eastAsia="Times New Roman" w:hAnsi="Arial" w:cs="Arial"/>
                <w:b w:val="0"/>
                <w:sz w:val="20"/>
                <w:szCs w:val="20"/>
                <w:lang w:val="el-GR" w:eastAsia="en-SG"/>
              </w:rPr>
              <w:t xml:space="preserve"> Οι μη πετρελαϊκές εξαγωγές στην πλειοψηφία των κορυφαίων αγορών μειώθηκαν τον Απρίλιο, εκτός από το Χονγκ Κονγκ και τις Ηνωμένες Πολιτείες. Οι εξαγωγές προς την ΕΕ μειώθηκαν κατά 25,4%, μετά τη συρρίκνωση του Μαρτίου κατά 15,1%. Μια άλλη αγορά που σημείωσε μεγάλη πτώση ήταν η Ιαπωνία (-31,1%), ενώ η Μαλαισία παρουσίασε πτώση 13,6%</w:t>
            </w:r>
            <w:r w:rsidR="00AE5440">
              <w:rPr>
                <w:rFonts w:ascii="Arial" w:eastAsia="Times New Roman" w:hAnsi="Arial" w:cs="Arial"/>
                <w:b w:val="0"/>
                <w:sz w:val="20"/>
                <w:szCs w:val="20"/>
                <w:lang w:val="el-GR" w:eastAsia="en-SG"/>
              </w:rPr>
              <w:t>, ενώ</w:t>
            </w:r>
            <w:r w:rsidR="00AE5440" w:rsidRPr="00AE5440">
              <w:rPr>
                <w:rFonts w:ascii="Arial" w:eastAsia="Times New Roman" w:hAnsi="Arial" w:cs="Arial"/>
                <w:b w:val="0"/>
                <w:sz w:val="20"/>
                <w:szCs w:val="20"/>
                <w:lang w:val="el-GR" w:eastAsia="en-SG"/>
              </w:rPr>
              <w:t xml:space="preserve"> οι εξαγωγές στην Κίνα, τον κυριότερο πελάτη της Σιγκαπούρης, μειώθηκαν κατά 5,8%. Οι εξαγωγές στις ΗΠΑ, το τρίτο μεγαλύτερο προορισμό, αυξήθηκαν 2,2% ετησίως τον Απρίλιο, μετά την άνοδο κατά 22% τον Μάρτιο. Σε μηνιαία βάση, οι μη πετρελαϊκές εξαγωγές υποχώρησαν κατά 0,6% τον Απρίλιο, ακολουθώντας τη συρρίκνωση του προηγούμενου μήνα κατά 14,3%. Οι μη πετρελαϊκές </w:t>
            </w:r>
            <w:proofErr w:type="spellStart"/>
            <w:r w:rsidR="00AE5440" w:rsidRPr="00AE5440">
              <w:rPr>
                <w:rFonts w:ascii="Arial" w:eastAsia="Times New Roman" w:hAnsi="Arial" w:cs="Arial"/>
                <w:b w:val="0"/>
                <w:sz w:val="20"/>
                <w:szCs w:val="20"/>
                <w:lang w:val="el-GR" w:eastAsia="en-SG"/>
              </w:rPr>
              <w:t>επανεξαγωγές</w:t>
            </w:r>
            <w:proofErr w:type="spellEnd"/>
            <w:r w:rsidR="00AE5440" w:rsidRPr="00AE5440">
              <w:rPr>
                <w:rFonts w:ascii="Arial" w:eastAsia="Times New Roman" w:hAnsi="Arial" w:cs="Arial"/>
                <w:b w:val="0"/>
                <w:sz w:val="20"/>
                <w:szCs w:val="20"/>
                <w:lang w:val="el-GR" w:eastAsia="en-SG"/>
              </w:rPr>
              <w:t xml:space="preserve"> αυξήθηκαν κατά 7,7% τον Απρίλιο, συνεχίζοντας την ανοδική τάση του Μαρτίου κατά 5,8%, λόγω της αύξησης τόσο των ηλεκτρονικών όσο και των μη ηλεκτρονικών </w:t>
            </w:r>
            <w:proofErr w:type="spellStart"/>
            <w:r w:rsidR="00AE5440" w:rsidRPr="00AE5440">
              <w:rPr>
                <w:rFonts w:ascii="Arial" w:eastAsia="Times New Roman" w:hAnsi="Arial" w:cs="Arial"/>
                <w:b w:val="0"/>
                <w:sz w:val="20"/>
                <w:szCs w:val="20"/>
                <w:lang w:val="el-GR" w:eastAsia="en-SG"/>
              </w:rPr>
              <w:t>επανεξαγωγών</w:t>
            </w:r>
            <w:proofErr w:type="spellEnd"/>
            <w:r w:rsidR="00AE5440" w:rsidRPr="00AE5440">
              <w:rPr>
                <w:rFonts w:ascii="Arial" w:eastAsia="Times New Roman" w:hAnsi="Arial" w:cs="Arial"/>
                <w:b w:val="0"/>
                <w:sz w:val="20"/>
                <w:szCs w:val="20"/>
                <w:lang w:val="el-GR" w:eastAsia="en-SG"/>
              </w:rPr>
              <w:t xml:space="preserve">. Το σύνολο του εμπορίου αυξήθηκε κατά 3,2% τον Απρίλιο, </w:t>
            </w:r>
            <w:r w:rsidR="00AE5440">
              <w:rPr>
                <w:rFonts w:ascii="Arial" w:eastAsia="Times New Roman" w:hAnsi="Arial" w:cs="Arial"/>
                <w:b w:val="0"/>
                <w:sz w:val="20"/>
                <w:szCs w:val="20"/>
                <w:lang w:val="el-GR" w:eastAsia="en-SG"/>
              </w:rPr>
              <w:t>καθώς</w:t>
            </w:r>
            <w:r w:rsidR="00AE5440" w:rsidRPr="00AE5440">
              <w:rPr>
                <w:rFonts w:ascii="Arial" w:eastAsia="Times New Roman" w:hAnsi="Arial" w:cs="Arial"/>
                <w:b w:val="0"/>
                <w:sz w:val="20"/>
                <w:szCs w:val="20"/>
                <w:lang w:val="el-GR" w:eastAsia="en-SG"/>
              </w:rPr>
              <w:t xml:space="preserve"> οι εξαγωγές μειώθηκαν κατά 0,5%, ενώ οι εισαγωγές αυξήθηκαν κατά 7,5%. Σε εποχικά διορθωμένη βάση, το σύνολο των συναλλαγών έφθασε τα 85 δισ. </w:t>
            </w:r>
            <w:r w:rsidR="00AE5440" w:rsidRPr="00AE5440">
              <w:rPr>
                <w:rFonts w:ascii="Arial" w:eastAsia="Times New Roman" w:hAnsi="Arial" w:cs="Arial"/>
                <w:b w:val="0"/>
                <w:sz w:val="20"/>
                <w:szCs w:val="20"/>
                <w:lang w:val="en-US" w:eastAsia="en-SG"/>
              </w:rPr>
              <w:t>SGD</w:t>
            </w:r>
            <w:r w:rsidR="00AE5440" w:rsidRPr="00AE5440">
              <w:rPr>
                <w:rFonts w:ascii="Arial" w:eastAsia="Times New Roman" w:hAnsi="Arial" w:cs="Arial"/>
                <w:b w:val="0"/>
                <w:sz w:val="20"/>
                <w:szCs w:val="20"/>
                <w:lang w:val="el-GR" w:eastAsia="en-SG"/>
              </w:rPr>
              <w:t xml:space="preserve"> τον Απρίλιο, υψηλότερα από τα 84</w:t>
            </w:r>
            <w:proofErr w:type="gramStart"/>
            <w:r w:rsidR="00AE5440" w:rsidRPr="00AE5440">
              <w:rPr>
                <w:rFonts w:ascii="Arial" w:eastAsia="Times New Roman" w:hAnsi="Arial" w:cs="Arial"/>
                <w:b w:val="0"/>
                <w:sz w:val="20"/>
                <w:szCs w:val="20"/>
                <w:lang w:val="el-GR" w:eastAsia="en-SG"/>
              </w:rPr>
              <w:t>,2</w:t>
            </w:r>
            <w:proofErr w:type="gramEnd"/>
            <w:r w:rsidR="00AE5440" w:rsidRPr="00AE5440">
              <w:rPr>
                <w:rFonts w:ascii="Arial" w:eastAsia="Times New Roman" w:hAnsi="Arial" w:cs="Arial"/>
                <w:b w:val="0"/>
                <w:sz w:val="20"/>
                <w:szCs w:val="20"/>
                <w:lang w:val="el-GR" w:eastAsia="en-SG"/>
              </w:rPr>
              <w:t xml:space="preserve"> δισ. </w:t>
            </w:r>
            <w:r w:rsidR="00AE5440" w:rsidRPr="00AE5440">
              <w:rPr>
                <w:rFonts w:ascii="Arial" w:eastAsia="Times New Roman" w:hAnsi="Arial" w:cs="Arial"/>
                <w:b w:val="0"/>
                <w:sz w:val="20"/>
                <w:szCs w:val="20"/>
                <w:lang w:val="en-US" w:eastAsia="en-SG"/>
              </w:rPr>
              <w:t>SGD</w:t>
            </w:r>
            <w:r w:rsidR="00AE5440" w:rsidRPr="00AE5440">
              <w:rPr>
                <w:rFonts w:ascii="Arial" w:eastAsia="Times New Roman" w:hAnsi="Arial" w:cs="Arial"/>
                <w:b w:val="0"/>
                <w:sz w:val="20"/>
                <w:szCs w:val="20"/>
                <w:lang w:val="el-GR" w:eastAsia="en-SG"/>
              </w:rPr>
              <w:t xml:space="preserve"> το Απρίλιο του προηγούμενου έτους.</w:t>
            </w:r>
            <w:r w:rsidR="00AE5440" w:rsidRPr="00AE5440">
              <w:rPr>
                <w:rFonts w:ascii="Arial" w:hAnsi="Arial" w:cs="Arial"/>
                <w:sz w:val="20"/>
                <w:szCs w:val="20"/>
                <w:lang w:val="el-GR"/>
              </w:rPr>
              <w:t xml:space="preserve"> </w:t>
            </w:r>
            <w:r w:rsidR="00AE5440" w:rsidRPr="00116536">
              <w:rPr>
                <w:rFonts w:ascii="Arial" w:hAnsi="Arial" w:cs="Arial"/>
                <w:sz w:val="16"/>
                <w:szCs w:val="16"/>
                <w:lang w:val="el-GR"/>
              </w:rPr>
              <w:t xml:space="preserve">ΠΗΓΗ: </w:t>
            </w:r>
            <w:r w:rsidR="00AE5440" w:rsidRPr="00116536">
              <w:rPr>
                <w:rFonts w:ascii="Arial" w:hAnsi="Arial" w:cs="Arial"/>
                <w:sz w:val="16"/>
                <w:szCs w:val="16"/>
                <w:lang w:val="en-US"/>
              </w:rPr>
              <w:t>STRAITSTIMES</w:t>
            </w:r>
            <w:r w:rsidR="00AE5440" w:rsidRPr="00116536">
              <w:rPr>
                <w:rFonts w:ascii="Arial" w:hAnsi="Arial" w:cs="Arial"/>
                <w:sz w:val="16"/>
                <w:szCs w:val="16"/>
                <w:lang w:val="el-GR"/>
              </w:rPr>
              <w:t xml:space="preserve"> </w:t>
            </w:r>
            <w:r w:rsidR="00AE5440" w:rsidRPr="00116536">
              <w:rPr>
                <w:rFonts w:ascii="Arial" w:hAnsi="Arial" w:cs="Arial"/>
                <w:sz w:val="16"/>
                <w:szCs w:val="16"/>
                <w:lang w:val="el-GR"/>
              </w:rPr>
              <w:t>20</w:t>
            </w:r>
            <w:r w:rsidR="00AE5440" w:rsidRPr="00116536">
              <w:rPr>
                <w:rFonts w:ascii="Arial" w:hAnsi="Arial" w:cs="Arial"/>
                <w:sz w:val="16"/>
                <w:szCs w:val="16"/>
                <w:lang w:val="el-GR"/>
              </w:rPr>
              <w:t>/</w:t>
            </w:r>
            <w:r w:rsidR="00AE5440" w:rsidRPr="00116536">
              <w:rPr>
                <w:rFonts w:ascii="Arial" w:hAnsi="Arial" w:cs="Arial"/>
                <w:sz w:val="16"/>
                <w:szCs w:val="16"/>
                <w:lang w:val="el-GR"/>
              </w:rPr>
              <w:t>5</w:t>
            </w:r>
            <w:r w:rsidR="00AE5440" w:rsidRPr="00116536">
              <w:rPr>
                <w:rFonts w:ascii="Arial" w:hAnsi="Arial" w:cs="Arial"/>
                <w:sz w:val="16"/>
                <w:szCs w:val="16"/>
                <w:lang w:val="el-GR"/>
              </w:rPr>
              <w:t>/2019</w:t>
            </w:r>
          </w:p>
          <w:p w:rsidR="007C194B" w:rsidRPr="007C194B" w:rsidRDefault="005053D5" w:rsidP="007C194B">
            <w:pPr>
              <w:spacing w:before="100" w:beforeAutospacing="1" w:after="100" w:afterAutospacing="1"/>
              <w:jc w:val="both"/>
              <w:rPr>
                <w:rFonts w:ascii="Arial" w:eastAsia="Times New Roman" w:hAnsi="Arial" w:cs="Arial"/>
                <w:b w:val="0"/>
                <w:sz w:val="20"/>
                <w:szCs w:val="20"/>
                <w:lang w:val="el-GR" w:eastAsia="en-SG"/>
              </w:rPr>
            </w:pPr>
            <w:r w:rsidRPr="007C194B">
              <w:rPr>
                <w:rFonts w:ascii="Arial" w:hAnsi="Arial" w:cs="Arial"/>
                <w:sz w:val="20"/>
                <w:szCs w:val="20"/>
                <w:lang w:val="el-GR"/>
              </w:rPr>
              <w:t>2.</w:t>
            </w:r>
            <w:r w:rsidR="00825272" w:rsidRPr="007C194B">
              <w:rPr>
                <w:rFonts w:ascii="Times New Roman" w:eastAsia="Times New Roman" w:hAnsi="Times New Roman" w:cs="Times New Roman"/>
                <w:sz w:val="20"/>
                <w:szCs w:val="20"/>
                <w:lang w:val="el-GR" w:eastAsia="en-SG"/>
              </w:rPr>
              <w:t xml:space="preserve"> </w:t>
            </w:r>
            <w:r w:rsidR="00B10494" w:rsidRPr="00B10494">
              <w:rPr>
                <w:rFonts w:ascii="Arial" w:eastAsia="Times New Roman" w:hAnsi="Arial" w:cs="Arial"/>
                <w:sz w:val="20"/>
                <w:szCs w:val="20"/>
                <w:lang w:val="el-GR" w:eastAsia="en-SG"/>
              </w:rPr>
              <w:t>ΣΥΜ</w:t>
            </w:r>
            <w:r w:rsidR="007111B5" w:rsidRPr="00B10494">
              <w:rPr>
                <w:rFonts w:ascii="Arial" w:eastAsia="Times New Roman" w:hAnsi="Arial" w:cs="Arial"/>
                <w:sz w:val="20"/>
                <w:szCs w:val="20"/>
                <w:lang w:val="el-GR" w:eastAsia="en-SG"/>
              </w:rPr>
              <w:t>ΦΩΝΙΑ</w:t>
            </w:r>
            <w:r w:rsidR="00B10494" w:rsidRPr="00B10494">
              <w:rPr>
                <w:rFonts w:ascii="Arial" w:eastAsia="Times New Roman" w:hAnsi="Arial" w:cs="Arial"/>
                <w:sz w:val="20"/>
                <w:szCs w:val="20"/>
                <w:lang w:val="el-GR" w:eastAsia="en-SG"/>
              </w:rPr>
              <w:t xml:space="preserve"> ΧΡΗΜΑΤΟΟΙΚΟΝΟΜΙΚΗΣ ΣΥΝΕΡΓΑΣΙΑΣ ΚΙΝΑΣ-ΣΙΓΚΑΠΟΥΡΗΣ</w:t>
            </w:r>
            <w:r w:rsidR="00B10494">
              <w:rPr>
                <w:rFonts w:ascii="Times New Roman" w:eastAsia="Times New Roman" w:hAnsi="Times New Roman" w:cs="Times New Roman"/>
                <w:sz w:val="20"/>
                <w:szCs w:val="20"/>
                <w:lang w:val="el-GR" w:eastAsia="en-SG"/>
              </w:rPr>
              <w:t>.</w:t>
            </w:r>
            <w:r w:rsidR="007111B5">
              <w:rPr>
                <w:rFonts w:ascii="Times New Roman" w:eastAsia="Times New Roman" w:hAnsi="Times New Roman" w:cs="Times New Roman"/>
                <w:sz w:val="20"/>
                <w:szCs w:val="20"/>
                <w:lang w:val="el-GR" w:eastAsia="en-SG"/>
              </w:rPr>
              <w:t xml:space="preserve"> </w:t>
            </w:r>
            <w:r w:rsidR="007C194B" w:rsidRPr="007C194B">
              <w:rPr>
                <w:rFonts w:ascii="Arial" w:eastAsia="Times New Roman" w:hAnsi="Arial" w:cs="Arial"/>
                <w:b w:val="0"/>
                <w:sz w:val="20"/>
                <w:szCs w:val="20"/>
                <w:lang w:val="el-GR" w:eastAsia="en-SG"/>
              </w:rPr>
              <w:t>Οι Ανταλλαγές φοιτητών και η συνεργασία για την έρευνα στον τομέα ανάπτυξης της τεχνολογίας στις χρηματοπιστωτικές υπηρεσίες (</w:t>
            </w:r>
            <w:r w:rsidR="007C194B" w:rsidRPr="007C194B">
              <w:rPr>
                <w:rFonts w:ascii="Arial" w:eastAsia="Times New Roman" w:hAnsi="Arial" w:cs="Arial"/>
                <w:b w:val="0"/>
                <w:sz w:val="20"/>
                <w:szCs w:val="20"/>
                <w:lang w:eastAsia="en-SG"/>
              </w:rPr>
              <w:t>Fintech</w:t>
            </w:r>
            <w:r w:rsidR="007C194B" w:rsidRPr="007C194B">
              <w:rPr>
                <w:rFonts w:ascii="Arial" w:eastAsia="Times New Roman" w:hAnsi="Arial" w:cs="Arial"/>
                <w:b w:val="0"/>
                <w:sz w:val="20"/>
                <w:szCs w:val="20"/>
                <w:lang w:val="el-GR" w:eastAsia="en-SG"/>
              </w:rPr>
              <w:t xml:space="preserve">) μεταξύ Κίνας και Σιγκαπούρης αναμένεται να επιταχυνθούν μετά την υπογραφή συμφωνίας μεταξύ της </w:t>
            </w:r>
            <w:r w:rsidR="007C194B" w:rsidRPr="007C194B">
              <w:rPr>
                <w:rFonts w:ascii="Arial" w:eastAsia="Times New Roman" w:hAnsi="Arial" w:cs="Arial"/>
                <w:b w:val="0"/>
                <w:sz w:val="20"/>
                <w:szCs w:val="20"/>
                <w:lang w:val="el-GR" w:eastAsia="en-SG"/>
              </w:rPr>
              <w:lastRenderedPageBreak/>
              <w:t>Νομισματικής Αρχής της Σιγκαπούρης (</w:t>
            </w:r>
            <w:r w:rsidR="007C194B" w:rsidRPr="007C194B">
              <w:rPr>
                <w:rFonts w:ascii="Arial" w:eastAsia="Times New Roman" w:hAnsi="Arial" w:cs="Arial"/>
                <w:b w:val="0"/>
                <w:sz w:val="20"/>
                <w:szCs w:val="20"/>
                <w:lang w:eastAsia="en-SG"/>
              </w:rPr>
              <w:t>MAS</w:t>
            </w:r>
            <w:r w:rsidR="007C194B" w:rsidRPr="007C194B">
              <w:rPr>
                <w:rFonts w:ascii="Arial" w:eastAsia="Times New Roman" w:hAnsi="Arial" w:cs="Arial"/>
                <w:b w:val="0"/>
                <w:sz w:val="20"/>
                <w:szCs w:val="20"/>
                <w:lang w:val="el-GR" w:eastAsia="en-SG"/>
              </w:rPr>
              <w:t>) και του μη κερδοσκοπικού Ινστιτούτου Χρηματοοικονομικών Ερευνών Ασίας-Ειρηνικού (</w:t>
            </w:r>
            <w:r w:rsidR="007C194B" w:rsidRPr="007C194B">
              <w:rPr>
                <w:rFonts w:ascii="Arial" w:eastAsia="Times New Roman" w:hAnsi="Arial" w:cs="Arial"/>
                <w:b w:val="0"/>
                <w:sz w:val="20"/>
                <w:szCs w:val="20"/>
                <w:lang w:eastAsia="en-SG"/>
              </w:rPr>
              <w:t>AFF</w:t>
            </w:r>
            <w:r w:rsidR="007C194B" w:rsidRPr="007C194B">
              <w:rPr>
                <w:rFonts w:ascii="Arial" w:eastAsia="Times New Roman" w:hAnsi="Arial" w:cs="Arial"/>
                <w:b w:val="0"/>
                <w:sz w:val="20"/>
                <w:szCs w:val="20"/>
                <w:lang w:val="el-GR" w:eastAsia="en-SG"/>
              </w:rPr>
              <w:t xml:space="preserve">). Η συμφωνία υπεγράφη πριν από τη πραγματοποίηση στρογγυλής τράπεζας </w:t>
            </w:r>
            <w:proofErr w:type="spellStart"/>
            <w:r w:rsidR="007C194B" w:rsidRPr="007C194B">
              <w:rPr>
                <w:rFonts w:ascii="Arial" w:eastAsia="Times New Roman" w:hAnsi="Arial" w:cs="Arial"/>
                <w:b w:val="0"/>
                <w:sz w:val="20"/>
                <w:szCs w:val="20"/>
                <w:lang w:eastAsia="en-SG"/>
              </w:rPr>
              <w:t>FinTech</w:t>
            </w:r>
            <w:proofErr w:type="spellEnd"/>
            <w:r w:rsidR="007C194B" w:rsidRPr="007C194B">
              <w:rPr>
                <w:rFonts w:ascii="Arial" w:eastAsia="Times New Roman" w:hAnsi="Arial" w:cs="Arial"/>
                <w:b w:val="0"/>
                <w:sz w:val="20"/>
                <w:szCs w:val="20"/>
                <w:lang w:val="el-GR" w:eastAsia="en-SG"/>
              </w:rPr>
              <w:t xml:space="preserve">, η οποία συνδιοργανώθηκε από το </w:t>
            </w:r>
            <w:r w:rsidR="007C194B" w:rsidRPr="007C194B">
              <w:rPr>
                <w:rFonts w:ascii="Arial" w:eastAsia="Times New Roman" w:hAnsi="Arial" w:cs="Arial"/>
                <w:b w:val="0"/>
                <w:sz w:val="20"/>
                <w:szCs w:val="20"/>
                <w:lang w:eastAsia="en-SG"/>
              </w:rPr>
              <w:t>MAS</w:t>
            </w:r>
            <w:r w:rsidR="007C194B" w:rsidRPr="007C194B">
              <w:rPr>
                <w:rFonts w:ascii="Arial" w:eastAsia="Times New Roman" w:hAnsi="Arial" w:cs="Arial"/>
                <w:b w:val="0"/>
                <w:sz w:val="20"/>
                <w:szCs w:val="20"/>
                <w:lang w:val="el-GR" w:eastAsia="en-SG"/>
              </w:rPr>
              <w:t xml:space="preserve"> και το </w:t>
            </w:r>
            <w:r w:rsidR="007C194B" w:rsidRPr="007C194B">
              <w:rPr>
                <w:rFonts w:ascii="Arial" w:eastAsia="Times New Roman" w:hAnsi="Arial" w:cs="Arial"/>
                <w:b w:val="0"/>
                <w:sz w:val="20"/>
                <w:szCs w:val="20"/>
                <w:lang w:eastAsia="en-SG"/>
              </w:rPr>
              <w:t>AFF</w:t>
            </w:r>
            <w:r w:rsidR="007C194B" w:rsidRPr="007C194B">
              <w:rPr>
                <w:rFonts w:ascii="Arial" w:eastAsia="Times New Roman" w:hAnsi="Arial" w:cs="Arial"/>
                <w:b w:val="0"/>
                <w:sz w:val="20"/>
                <w:szCs w:val="20"/>
                <w:lang w:val="el-GR" w:eastAsia="en-SG"/>
              </w:rPr>
              <w:t xml:space="preserve">. Στόχος της συμφωνίας είναι να αυξηθεί η συνεργασία μεταξύ των επιχειρηματικών κοινοτήτων, της ακαδημαϊκής κοινότητας και των </w:t>
            </w:r>
            <w:r w:rsidR="007C194B" w:rsidRPr="007C194B">
              <w:rPr>
                <w:rFonts w:ascii="Arial" w:eastAsia="Times New Roman" w:hAnsi="Arial" w:cs="Arial"/>
                <w:b w:val="0"/>
                <w:sz w:val="20"/>
                <w:szCs w:val="20"/>
                <w:lang w:eastAsia="en-SG"/>
              </w:rPr>
              <w:t>think</w:t>
            </w:r>
            <w:r w:rsidR="007C194B" w:rsidRPr="007C194B">
              <w:rPr>
                <w:rFonts w:ascii="Arial" w:eastAsia="Times New Roman" w:hAnsi="Arial" w:cs="Arial"/>
                <w:b w:val="0"/>
                <w:sz w:val="20"/>
                <w:szCs w:val="20"/>
                <w:lang w:val="el-GR" w:eastAsia="en-SG"/>
              </w:rPr>
              <w:t>-</w:t>
            </w:r>
            <w:r w:rsidR="007C194B" w:rsidRPr="007C194B">
              <w:rPr>
                <w:rFonts w:ascii="Arial" w:eastAsia="Times New Roman" w:hAnsi="Arial" w:cs="Arial"/>
                <w:b w:val="0"/>
                <w:sz w:val="20"/>
                <w:szCs w:val="20"/>
                <w:lang w:eastAsia="en-SG"/>
              </w:rPr>
              <w:t>tanks</w:t>
            </w:r>
            <w:r w:rsidR="007C194B" w:rsidRPr="007C194B">
              <w:rPr>
                <w:rFonts w:ascii="Arial" w:eastAsia="Times New Roman" w:hAnsi="Arial" w:cs="Arial"/>
                <w:b w:val="0"/>
                <w:sz w:val="20"/>
                <w:szCs w:val="20"/>
                <w:lang w:val="el-GR" w:eastAsia="en-SG"/>
              </w:rPr>
              <w:t xml:space="preserve"> των δύο χωρών διευκολύνοντας τη συνεργασία μεταξύ των χρηματοπιστωτικών ιδρυμάτων στις δύο χώρες, προκειμένου να ωφεληθούν οι καταναλωτές τους με τη χρήση του </w:t>
            </w:r>
            <w:r w:rsidR="007C194B" w:rsidRPr="007C194B">
              <w:rPr>
                <w:rFonts w:ascii="Arial" w:eastAsia="Times New Roman" w:hAnsi="Arial" w:cs="Arial"/>
                <w:b w:val="0"/>
                <w:sz w:val="20"/>
                <w:szCs w:val="20"/>
                <w:lang w:eastAsia="en-SG"/>
              </w:rPr>
              <w:t>Fintech</w:t>
            </w:r>
            <w:r w:rsidR="007C194B" w:rsidRPr="007C194B">
              <w:rPr>
                <w:rFonts w:ascii="Arial" w:eastAsia="Times New Roman" w:hAnsi="Arial" w:cs="Arial"/>
                <w:b w:val="0"/>
                <w:sz w:val="20"/>
                <w:szCs w:val="20"/>
                <w:lang w:val="el-GR" w:eastAsia="en-SG"/>
              </w:rPr>
              <w:t xml:space="preserve">. Επίσης ανακοινώθηκε ότι η Κίνα και η Σιγκαπούρη ανανέωσαν την υπάρχουσα διμερή συμφωνία ανταλλαγής νομισμάτων αξίας 300 δις. </w:t>
            </w:r>
            <w:proofErr w:type="spellStart"/>
            <w:r w:rsidR="007C194B" w:rsidRPr="007C194B">
              <w:rPr>
                <w:rFonts w:ascii="Arial" w:eastAsia="Times New Roman" w:hAnsi="Arial" w:cs="Arial"/>
                <w:b w:val="0"/>
                <w:sz w:val="20"/>
                <w:szCs w:val="20"/>
                <w:lang w:val="el-GR" w:eastAsia="en-SG"/>
              </w:rPr>
              <w:t>γουάν</w:t>
            </w:r>
            <w:proofErr w:type="spellEnd"/>
            <w:r w:rsidR="007C194B" w:rsidRPr="007C194B">
              <w:rPr>
                <w:rFonts w:ascii="Arial" w:eastAsia="Times New Roman" w:hAnsi="Arial" w:cs="Arial"/>
                <w:b w:val="0"/>
                <w:sz w:val="20"/>
                <w:szCs w:val="20"/>
                <w:lang w:val="el-GR" w:eastAsia="en-SG"/>
              </w:rPr>
              <w:t xml:space="preserve"> (</w:t>
            </w:r>
            <w:r w:rsidR="007C194B" w:rsidRPr="007C194B">
              <w:rPr>
                <w:rFonts w:ascii="Arial" w:eastAsia="Times New Roman" w:hAnsi="Arial" w:cs="Arial"/>
                <w:b w:val="0"/>
                <w:sz w:val="20"/>
                <w:szCs w:val="20"/>
                <w:lang w:eastAsia="en-SG"/>
              </w:rPr>
              <w:t>S</w:t>
            </w:r>
            <w:r w:rsidR="007C194B" w:rsidRPr="007C194B">
              <w:rPr>
                <w:rFonts w:ascii="Arial" w:eastAsia="Times New Roman" w:hAnsi="Arial" w:cs="Arial"/>
                <w:b w:val="0"/>
                <w:sz w:val="20"/>
                <w:szCs w:val="20"/>
                <w:lang w:val="el-GR" w:eastAsia="en-SG"/>
              </w:rPr>
              <w:t xml:space="preserve"> $ 60 δις.)  για τα επόμενα τρία χρόνια. Η συμφωνία  επιτρέπει στη </w:t>
            </w:r>
            <w:r w:rsidR="007C194B" w:rsidRPr="007C194B">
              <w:rPr>
                <w:rFonts w:ascii="Arial" w:hAnsi="Arial" w:cs="Arial"/>
                <w:b w:val="0"/>
                <w:sz w:val="20"/>
                <w:szCs w:val="20"/>
                <w:lang w:val="el-GR"/>
              </w:rPr>
              <w:t xml:space="preserve"> Λαϊκή Τράπεζα της Κίνας και στη </w:t>
            </w:r>
            <w:r w:rsidR="007C194B" w:rsidRPr="007C194B">
              <w:rPr>
                <w:rFonts w:ascii="Arial" w:hAnsi="Arial" w:cs="Arial"/>
                <w:b w:val="0"/>
                <w:sz w:val="20"/>
                <w:szCs w:val="20"/>
              </w:rPr>
              <w:t>MAS</w:t>
            </w:r>
            <w:r w:rsidR="007C194B" w:rsidRPr="007C194B">
              <w:rPr>
                <w:rFonts w:ascii="Arial" w:hAnsi="Arial" w:cs="Arial"/>
                <w:b w:val="0"/>
                <w:sz w:val="20"/>
                <w:szCs w:val="20"/>
                <w:lang w:val="el-GR"/>
              </w:rPr>
              <w:t xml:space="preserve">, πρόσβαση στη ρευστότητα ξένων νομισμάτων για τη στήριξη των χρηματοδοτικών αναγκών του εμπορίου και των επενδύσεων (συμπεριλαμβανομένων των έργων στο πλαίσιο της πρωτοβουλίας </w:t>
            </w:r>
            <w:r w:rsidR="007C194B" w:rsidRPr="007C194B">
              <w:rPr>
                <w:rFonts w:ascii="Arial" w:hAnsi="Arial" w:cs="Arial"/>
                <w:b w:val="0"/>
                <w:sz w:val="20"/>
                <w:szCs w:val="20"/>
              </w:rPr>
              <w:t>Belt</w:t>
            </w:r>
            <w:r w:rsidR="007C194B" w:rsidRPr="007C194B">
              <w:rPr>
                <w:rFonts w:ascii="Arial" w:hAnsi="Arial" w:cs="Arial"/>
                <w:b w:val="0"/>
                <w:sz w:val="20"/>
                <w:szCs w:val="20"/>
                <w:lang w:val="el-GR"/>
              </w:rPr>
              <w:t xml:space="preserve"> </w:t>
            </w:r>
            <w:r w:rsidR="007C194B" w:rsidRPr="007C194B">
              <w:rPr>
                <w:rFonts w:ascii="Arial" w:hAnsi="Arial" w:cs="Arial"/>
                <w:b w:val="0"/>
                <w:sz w:val="20"/>
                <w:szCs w:val="20"/>
              </w:rPr>
              <w:t>and</w:t>
            </w:r>
            <w:r w:rsidR="007C194B" w:rsidRPr="007C194B">
              <w:rPr>
                <w:rFonts w:ascii="Arial" w:hAnsi="Arial" w:cs="Arial"/>
                <w:b w:val="0"/>
                <w:sz w:val="20"/>
                <w:szCs w:val="20"/>
                <w:lang w:val="el-GR"/>
              </w:rPr>
              <w:t xml:space="preserve"> </w:t>
            </w:r>
            <w:r w:rsidR="007C194B" w:rsidRPr="007C194B">
              <w:rPr>
                <w:rFonts w:ascii="Arial" w:hAnsi="Arial" w:cs="Arial"/>
                <w:b w:val="0"/>
                <w:sz w:val="20"/>
                <w:szCs w:val="20"/>
              </w:rPr>
              <w:t>Road</w:t>
            </w:r>
            <w:r w:rsidR="007C194B" w:rsidRPr="007C194B">
              <w:rPr>
                <w:rFonts w:ascii="Arial" w:hAnsi="Arial" w:cs="Arial"/>
                <w:b w:val="0"/>
                <w:sz w:val="20"/>
                <w:szCs w:val="20"/>
                <w:lang w:val="el-GR"/>
              </w:rPr>
              <w:t xml:space="preserve">) καθώς και στην εξασφάλιση σταθερότητας στις χρηματοπιστωτικές αγορές. Η αρχική συμφωνία μεταξύ των δύο κεντρικών τραπεζών υπεγράφη αρχικά το 2010 και ανανεώθηκε το 2013 και το 2016. Η κ. </w:t>
            </w:r>
            <w:r w:rsidR="007C194B" w:rsidRPr="007C194B">
              <w:rPr>
                <w:rFonts w:ascii="Arial" w:hAnsi="Arial" w:cs="Arial"/>
                <w:b w:val="0"/>
                <w:sz w:val="20"/>
                <w:szCs w:val="20"/>
              </w:rPr>
              <w:t>Michele</w:t>
            </w:r>
            <w:r w:rsidR="007C194B" w:rsidRPr="007C194B">
              <w:rPr>
                <w:rFonts w:ascii="Arial" w:hAnsi="Arial" w:cs="Arial"/>
                <w:b w:val="0"/>
                <w:sz w:val="20"/>
                <w:szCs w:val="20"/>
                <w:lang w:val="el-GR"/>
              </w:rPr>
              <w:t xml:space="preserve"> </w:t>
            </w:r>
            <w:r w:rsidR="007C194B" w:rsidRPr="007C194B">
              <w:rPr>
                <w:rFonts w:ascii="Arial" w:hAnsi="Arial" w:cs="Arial"/>
                <w:b w:val="0"/>
                <w:sz w:val="20"/>
                <w:szCs w:val="20"/>
              </w:rPr>
              <w:t>Wee</w:t>
            </w:r>
            <w:r w:rsidR="007C194B" w:rsidRPr="007C194B">
              <w:rPr>
                <w:rFonts w:ascii="Arial" w:hAnsi="Arial" w:cs="Arial"/>
                <w:b w:val="0"/>
                <w:sz w:val="20"/>
                <w:szCs w:val="20"/>
                <w:lang w:val="el-GR"/>
              </w:rPr>
              <w:t xml:space="preserve">, επικεφαλής των χρηματοπιστωτικών αγορών της </w:t>
            </w:r>
            <w:r w:rsidR="007C194B" w:rsidRPr="007C194B">
              <w:rPr>
                <w:rFonts w:ascii="Arial" w:hAnsi="Arial" w:cs="Arial"/>
                <w:b w:val="0"/>
                <w:sz w:val="20"/>
                <w:szCs w:val="20"/>
              </w:rPr>
              <w:t>Standard</w:t>
            </w:r>
            <w:r w:rsidR="007C194B" w:rsidRPr="007C194B">
              <w:rPr>
                <w:rFonts w:ascii="Arial" w:hAnsi="Arial" w:cs="Arial"/>
                <w:b w:val="0"/>
                <w:sz w:val="20"/>
                <w:szCs w:val="20"/>
                <w:lang w:val="el-GR"/>
              </w:rPr>
              <w:t xml:space="preserve"> </w:t>
            </w:r>
            <w:r w:rsidR="007C194B" w:rsidRPr="007C194B">
              <w:rPr>
                <w:rFonts w:ascii="Arial" w:hAnsi="Arial" w:cs="Arial"/>
                <w:b w:val="0"/>
                <w:sz w:val="20"/>
                <w:szCs w:val="20"/>
              </w:rPr>
              <w:t>Chartered</w:t>
            </w:r>
            <w:r w:rsidR="007C194B" w:rsidRPr="007C194B">
              <w:rPr>
                <w:rFonts w:ascii="Arial" w:hAnsi="Arial" w:cs="Arial"/>
                <w:b w:val="0"/>
                <w:sz w:val="20"/>
                <w:szCs w:val="20"/>
                <w:lang w:val="el-GR"/>
              </w:rPr>
              <w:t xml:space="preserve"> </w:t>
            </w:r>
            <w:r w:rsidR="007C194B" w:rsidRPr="007C194B">
              <w:rPr>
                <w:rFonts w:ascii="Arial" w:hAnsi="Arial" w:cs="Arial"/>
                <w:b w:val="0"/>
                <w:sz w:val="20"/>
                <w:szCs w:val="20"/>
              </w:rPr>
              <w:t>Bank</w:t>
            </w:r>
            <w:r w:rsidR="007C194B" w:rsidRPr="007C194B">
              <w:rPr>
                <w:rFonts w:ascii="Arial" w:hAnsi="Arial" w:cs="Arial"/>
                <w:b w:val="0"/>
                <w:sz w:val="20"/>
                <w:szCs w:val="20"/>
                <w:lang w:val="el-GR"/>
              </w:rPr>
              <w:t xml:space="preserve"> Σιγκαπούρης, δήλωσε ότι η συμφωνία θα συνεχίσει να προωθεί την οικονομική ανθεκτικότητα και τη χρηματοπιστωτική σταθερότητα, δεδομένου ότι η Σιγκαπούρη αποτελεί το μεγαλύτερο κόμβο εμπορευματικών συναλλαγών στην περιοχή και μια δημοφιλή επιλογή για περιφερειακά κέντρα χρηματοδότησης, καθώς και ένα από τα μεγαλύτερα κέντρα κινεζικών υπεράκτιων δραστηριοτήτων</w:t>
            </w:r>
            <w:r w:rsidR="0002540E">
              <w:rPr>
                <w:rFonts w:ascii="Arial" w:hAnsi="Arial" w:cs="Arial"/>
                <w:b w:val="0"/>
                <w:sz w:val="20"/>
                <w:szCs w:val="20"/>
                <w:lang w:val="el-GR"/>
              </w:rPr>
              <w:t>.</w:t>
            </w:r>
            <w:r w:rsidR="007C194B" w:rsidRPr="00AE5440">
              <w:rPr>
                <w:rFonts w:ascii="Arial" w:hAnsi="Arial" w:cs="Arial"/>
                <w:sz w:val="20"/>
                <w:szCs w:val="20"/>
                <w:lang w:val="el-GR"/>
              </w:rPr>
              <w:t xml:space="preserve"> </w:t>
            </w:r>
            <w:r w:rsidR="007C194B" w:rsidRPr="00116536">
              <w:rPr>
                <w:rFonts w:ascii="Arial" w:hAnsi="Arial" w:cs="Arial"/>
                <w:sz w:val="16"/>
                <w:szCs w:val="16"/>
                <w:lang w:val="el-GR"/>
              </w:rPr>
              <w:t xml:space="preserve">ΠΗΓΗ: </w:t>
            </w:r>
            <w:r w:rsidR="007C194B" w:rsidRPr="00116536">
              <w:rPr>
                <w:rFonts w:ascii="Arial" w:hAnsi="Arial" w:cs="Arial"/>
                <w:sz w:val="16"/>
                <w:szCs w:val="16"/>
                <w:lang w:val="en-US"/>
              </w:rPr>
              <w:t>STRAITSTIMES</w:t>
            </w:r>
            <w:r w:rsidR="007C194B" w:rsidRPr="00116536">
              <w:rPr>
                <w:rFonts w:ascii="Arial" w:hAnsi="Arial" w:cs="Arial"/>
                <w:sz w:val="16"/>
                <w:szCs w:val="16"/>
                <w:lang w:val="el-GR"/>
              </w:rPr>
              <w:t xml:space="preserve"> </w:t>
            </w:r>
            <w:r w:rsidR="007C194B" w:rsidRPr="00116536">
              <w:rPr>
                <w:rFonts w:ascii="Arial" w:hAnsi="Arial" w:cs="Arial"/>
                <w:sz w:val="16"/>
                <w:szCs w:val="16"/>
                <w:lang w:val="el-GR"/>
              </w:rPr>
              <w:t>14</w:t>
            </w:r>
            <w:r w:rsidR="007C194B" w:rsidRPr="00116536">
              <w:rPr>
                <w:rFonts w:ascii="Arial" w:eastAsia="Times New Roman" w:hAnsi="Arial" w:cs="Arial"/>
                <w:sz w:val="16"/>
                <w:szCs w:val="16"/>
                <w:lang w:val="el-GR" w:eastAsia="en-SG"/>
              </w:rPr>
              <w:t>/</w:t>
            </w:r>
            <w:r w:rsidR="007C194B" w:rsidRPr="00116536">
              <w:rPr>
                <w:rFonts w:ascii="Arial" w:eastAsia="Times New Roman" w:hAnsi="Arial" w:cs="Arial"/>
                <w:sz w:val="16"/>
                <w:szCs w:val="16"/>
                <w:lang w:val="el-GR" w:eastAsia="en-SG"/>
              </w:rPr>
              <w:t>05</w:t>
            </w:r>
            <w:r w:rsidR="007C194B" w:rsidRPr="00116536">
              <w:rPr>
                <w:rFonts w:ascii="Arial" w:eastAsia="Times New Roman" w:hAnsi="Arial" w:cs="Arial"/>
                <w:sz w:val="16"/>
                <w:szCs w:val="16"/>
                <w:lang w:val="el-GR" w:eastAsia="en-SG"/>
              </w:rPr>
              <w:t>/2019</w:t>
            </w:r>
          </w:p>
          <w:p w:rsidR="00F405E7" w:rsidRDefault="005053D5" w:rsidP="00EE21B3">
            <w:pPr>
              <w:spacing w:before="100" w:beforeAutospacing="1" w:after="100" w:afterAutospacing="1"/>
              <w:jc w:val="both"/>
              <w:rPr>
                <w:rFonts w:ascii="Arial" w:hAnsi="Arial" w:cs="Arial"/>
                <w:sz w:val="18"/>
                <w:szCs w:val="18"/>
                <w:lang w:val="el-GR"/>
              </w:rPr>
            </w:pPr>
            <w:r w:rsidRPr="00703172">
              <w:rPr>
                <w:rFonts w:ascii="Arial" w:eastAsia="Times New Roman" w:hAnsi="Arial" w:cs="Arial"/>
                <w:sz w:val="20"/>
                <w:szCs w:val="20"/>
                <w:lang w:val="el-GR" w:eastAsia="en-SG"/>
              </w:rPr>
              <w:t>3.</w:t>
            </w:r>
            <w:r w:rsidR="00C73A33" w:rsidRPr="00703172">
              <w:rPr>
                <w:rFonts w:ascii="Arial" w:hAnsi="Arial" w:cs="Arial"/>
                <w:b w:val="0"/>
                <w:sz w:val="20"/>
                <w:szCs w:val="20"/>
                <w:lang w:val="el-GR"/>
              </w:rPr>
              <w:t xml:space="preserve"> </w:t>
            </w:r>
            <w:r w:rsidR="00703172" w:rsidRPr="00703172">
              <w:rPr>
                <w:rFonts w:ascii="Arial" w:hAnsi="Arial" w:cs="Arial"/>
                <w:sz w:val="20"/>
                <w:szCs w:val="20"/>
                <w:lang w:val="el-GR"/>
              </w:rPr>
              <w:t>ΕΤΑΙΡΕΙΑ ΔΙΑΧΕΙΡΙΣΗΣ ΕΠΕΝΔΥΤΙΚΩΝ ΚΕΦΑΛΑΙΩΝ</w:t>
            </w:r>
            <w:r w:rsidR="00703172">
              <w:rPr>
                <w:rFonts w:ascii="Arial" w:hAnsi="Arial" w:cs="Arial"/>
                <w:sz w:val="20"/>
                <w:szCs w:val="20"/>
                <w:lang w:val="el-GR"/>
              </w:rPr>
              <w:t xml:space="preserve"> </w:t>
            </w:r>
            <w:r w:rsidR="00703172" w:rsidRPr="00703172">
              <w:rPr>
                <w:rFonts w:ascii="Arial" w:eastAsia="Times New Roman" w:hAnsi="Arial" w:cs="Arial"/>
                <w:sz w:val="20"/>
                <w:szCs w:val="20"/>
                <w:lang w:val="el-GR" w:eastAsia="en-SG"/>
              </w:rPr>
              <w:t>(</w:t>
            </w:r>
            <w:r w:rsidR="00703172" w:rsidRPr="00703172">
              <w:rPr>
                <w:rFonts w:ascii="Arial" w:eastAsia="Times New Roman" w:hAnsi="Arial" w:cs="Arial"/>
                <w:sz w:val="20"/>
                <w:szCs w:val="20"/>
                <w:lang w:eastAsia="en-SG"/>
              </w:rPr>
              <w:t>VARIABLE</w:t>
            </w:r>
            <w:r w:rsidR="00703172" w:rsidRPr="00703172">
              <w:rPr>
                <w:rFonts w:ascii="Arial" w:eastAsia="Times New Roman" w:hAnsi="Arial" w:cs="Arial"/>
                <w:sz w:val="20"/>
                <w:szCs w:val="20"/>
                <w:lang w:val="el-GR" w:eastAsia="en-SG"/>
              </w:rPr>
              <w:t xml:space="preserve"> </w:t>
            </w:r>
            <w:r w:rsidR="00703172" w:rsidRPr="00703172">
              <w:rPr>
                <w:rFonts w:ascii="Arial" w:eastAsia="Times New Roman" w:hAnsi="Arial" w:cs="Arial"/>
                <w:sz w:val="20"/>
                <w:szCs w:val="20"/>
                <w:lang w:eastAsia="en-SG"/>
              </w:rPr>
              <w:t>CAPITAL</w:t>
            </w:r>
            <w:r w:rsidR="00703172" w:rsidRPr="00703172">
              <w:rPr>
                <w:rFonts w:ascii="Arial" w:eastAsia="Times New Roman" w:hAnsi="Arial" w:cs="Arial"/>
                <w:sz w:val="20"/>
                <w:szCs w:val="20"/>
                <w:lang w:val="el-GR" w:eastAsia="en-SG"/>
              </w:rPr>
              <w:t xml:space="preserve"> </w:t>
            </w:r>
            <w:r w:rsidR="00703172" w:rsidRPr="00703172">
              <w:rPr>
                <w:rFonts w:ascii="Arial" w:eastAsia="Times New Roman" w:hAnsi="Arial" w:cs="Arial"/>
                <w:sz w:val="20"/>
                <w:szCs w:val="20"/>
                <w:lang w:eastAsia="en-SG"/>
              </w:rPr>
              <w:t>COMPANY</w:t>
            </w:r>
            <w:r w:rsidR="00703172" w:rsidRPr="00703172">
              <w:rPr>
                <w:rFonts w:ascii="Arial" w:eastAsia="Times New Roman" w:hAnsi="Arial" w:cs="Arial"/>
                <w:sz w:val="20"/>
                <w:szCs w:val="20"/>
                <w:lang w:val="el-GR" w:eastAsia="en-SG"/>
              </w:rPr>
              <w:t>)</w:t>
            </w:r>
            <w:r w:rsidR="00703172" w:rsidRPr="00703172">
              <w:rPr>
                <w:rFonts w:ascii="Arial" w:eastAsia="Times New Roman" w:hAnsi="Arial" w:cs="Arial"/>
                <w:b w:val="0"/>
                <w:sz w:val="20"/>
                <w:szCs w:val="20"/>
                <w:lang w:val="el-GR" w:eastAsia="en-SG"/>
              </w:rPr>
              <w:t xml:space="preserve"> </w:t>
            </w:r>
            <w:r w:rsidR="00703172">
              <w:rPr>
                <w:rFonts w:ascii="Arial" w:hAnsi="Arial" w:cs="Arial"/>
                <w:b w:val="0"/>
                <w:sz w:val="20"/>
                <w:szCs w:val="20"/>
                <w:lang w:val="el-GR"/>
              </w:rPr>
              <w:t xml:space="preserve"> </w:t>
            </w:r>
            <w:r w:rsidR="00703172" w:rsidRPr="00703172">
              <w:rPr>
                <w:rFonts w:ascii="Arial" w:eastAsia="Times New Roman" w:hAnsi="Arial" w:cs="Arial"/>
                <w:b w:val="0"/>
                <w:sz w:val="20"/>
                <w:szCs w:val="20"/>
                <w:lang w:val="el-GR" w:eastAsia="en-SG"/>
              </w:rPr>
              <w:t xml:space="preserve">Μια νέα εταιρική δομή διαχείρισης επενδυτικών κεφαλαίων με την ονομασία </w:t>
            </w:r>
            <w:r w:rsidR="00703172" w:rsidRPr="00703172">
              <w:rPr>
                <w:rFonts w:ascii="Arial" w:eastAsia="Times New Roman" w:hAnsi="Arial" w:cs="Arial"/>
                <w:b w:val="0"/>
                <w:sz w:val="20"/>
                <w:szCs w:val="20"/>
                <w:lang w:eastAsia="en-SG"/>
              </w:rPr>
              <w:t>VCC</w:t>
            </w:r>
            <w:r w:rsidR="00703172" w:rsidRPr="00703172">
              <w:rPr>
                <w:rFonts w:ascii="Arial" w:eastAsia="Times New Roman" w:hAnsi="Arial" w:cs="Arial"/>
                <w:b w:val="0"/>
                <w:sz w:val="20"/>
                <w:szCs w:val="20"/>
                <w:lang w:val="el-GR" w:eastAsia="en-SG"/>
              </w:rPr>
              <w:t xml:space="preserve"> (</w:t>
            </w:r>
            <w:r w:rsidR="00703172" w:rsidRPr="00703172">
              <w:rPr>
                <w:rFonts w:ascii="Arial" w:eastAsia="Times New Roman" w:hAnsi="Arial" w:cs="Arial"/>
                <w:b w:val="0"/>
                <w:sz w:val="20"/>
                <w:szCs w:val="20"/>
                <w:lang w:eastAsia="en-SG"/>
              </w:rPr>
              <w:t>Variable</w:t>
            </w:r>
            <w:r w:rsidR="00703172" w:rsidRPr="00703172">
              <w:rPr>
                <w:rFonts w:ascii="Arial" w:eastAsia="Times New Roman" w:hAnsi="Arial" w:cs="Arial"/>
                <w:b w:val="0"/>
                <w:sz w:val="20"/>
                <w:szCs w:val="20"/>
                <w:lang w:val="el-GR" w:eastAsia="en-SG"/>
              </w:rPr>
              <w:t xml:space="preserve"> </w:t>
            </w:r>
            <w:r w:rsidR="00703172" w:rsidRPr="00703172">
              <w:rPr>
                <w:rFonts w:ascii="Arial" w:eastAsia="Times New Roman" w:hAnsi="Arial" w:cs="Arial"/>
                <w:b w:val="0"/>
                <w:sz w:val="20"/>
                <w:szCs w:val="20"/>
                <w:lang w:eastAsia="en-SG"/>
              </w:rPr>
              <w:t>Capital</w:t>
            </w:r>
            <w:r w:rsidR="00703172" w:rsidRPr="00703172">
              <w:rPr>
                <w:rFonts w:ascii="Arial" w:eastAsia="Times New Roman" w:hAnsi="Arial" w:cs="Arial"/>
                <w:b w:val="0"/>
                <w:sz w:val="20"/>
                <w:szCs w:val="20"/>
                <w:lang w:val="el-GR" w:eastAsia="en-SG"/>
              </w:rPr>
              <w:t xml:space="preserve"> </w:t>
            </w:r>
            <w:r w:rsidR="00703172" w:rsidRPr="00703172">
              <w:rPr>
                <w:rFonts w:ascii="Arial" w:eastAsia="Times New Roman" w:hAnsi="Arial" w:cs="Arial"/>
                <w:b w:val="0"/>
                <w:sz w:val="20"/>
                <w:szCs w:val="20"/>
                <w:lang w:eastAsia="en-SG"/>
              </w:rPr>
              <w:t>Company</w:t>
            </w:r>
            <w:r w:rsidR="00703172" w:rsidRPr="00703172">
              <w:rPr>
                <w:rFonts w:ascii="Arial" w:eastAsia="Times New Roman" w:hAnsi="Arial" w:cs="Arial"/>
                <w:b w:val="0"/>
                <w:sz w:val="20"/>
                <w:szCs w:val="20"/>
                <w:lang w:val="el-GR" w:eastAsia="en-SG"/>
              </w:rPr>
              <w:t>)</w:t>
            </w:r>
            <w:r w:rsidR="00703172">
              <w:rPr>
                <w:rFonts w:ascii="Arial" w:eastAsia="Times New Roman" w:hAnsi="Arial" w:cs="Arial"/>
                <w:b w:val="0"/>
                <w:sz w:val="20"/>
                <w:szCs w:val="20"/>
                <w:lang w:val="el-GR" w:eastAsia="en-SG"/>
              </w:rPr>
              <w:t>,</w:t>
            </w:r>
            <w:r w:rsidR="00703172" w:rsidRPr="00703172">
              <w:rPr>
                <w:rFonts w:ascii="Arial" w:eastAsia="Times New Roman" w:hAnsi="Arial" w:cs="Arial"/>
                <w:b w:val="0"/>
                <w:sz w:val="20"/>
                <w:szCs w:val="20"/>
                <w:lang w:val="el-GR" w:eastAsia="en-SG"/>
              </w:rPr>
              <w:t xml:space="preserve"> η οποία πρόκειται να λειτουργήσει περί τα τέλη του 2019, σκοπεύει να προσελκύσει στη Σιγκαπούρη διαχειριστές επενδυτικών κεφαλαίων. Η κυβέρνηση εκτιμά ότι το πλαίσιο </w:t>
            </w:r>
            <w:r w:rsidR="00703172" w:rsidRPr="00703172">
              <w:rPr>
                <w:rFonts w:ascii="Arial" w:eastAsia="Times New Roman" w:hAnsi="Arial" w:cs="Arial"/>
                <w:b w:val="0"/>
                <w:sz w:val="20"/>
                <w:szCs w:val="20"/>
                <w:lang w:eastAsia="en-SG"/>
              </w:rPr>
              <w:t>VCC</w:t>
            </w:r>
            <w:r w:rsidR="00703172" w:rsidRPr="00703172">
              <w:rPr>
                <w:rFonts w:ascii="Arial" w:eastAsia="Times New Roman" w:hAnsi="Arial" w:cs="Arial"/>
                <w:b w:val="0"/>
                <w:sz w:val="20"/>
                <w:szCs w:val="20"/>
                <w:lang w:val="el-GR" w:eastAsia="en-SG"/>
              </w:rPr>
              <w:t xml:space="preserve"> θα δημιουργηθούν πάνω από 1.000 νέες θέσεις εργασίας στη βιομηχανία διαχείρισης κεφαλαίων κατά τα πρώτα δύο χρόνια λειτουργίας, ενώ θα εμβαθύνει περαιτέρω το οικοσύστημα διαχείρισης κεφαλαίων</w:t>
            </w:r>
            <w:r w:rsidR="00703172">
              <w:rPr>
                <w:rFonts w:ascii="Arial" w:eastAsia="Times New Roman" w:hAnsi="Arial" w:cs="Arial"/>
                <w:b w:val="0"/>
                <w:sz w:val="20"/>
                <w:szCs w:val="20"/>
                <w:lang w:val="el-GR" w:eastAsia="en-SG"/>
              </w:rPr>
              <w:t>,</w:t>
            </w:r>
            <w:r w:rsidR="00703172" w:rsidRPr="00703172">
              <w:rPr>
                <w:rFonts w:ascii="Arial" w:eastAsia="Times New Roman" w:hAnsi="Arial" w:cs="Arial"/>
                <w:b w:val="0"/>
                <w:sz w:val="20"/>
                <w:szCs w:val="20"/>
                <w:lang w:val="el-GR" w:eastAsia="en-SG"/>
              </w:rPr>
              <w:t xml:space="preserve"> δημιουργώντας νέες επιχειρηματικές ευκαιρίες για ένα ευρύ φάσμα επαγγελμάτων όπως δικηγόροι, λογιστές, φοροτεχνικ</w:t>
            </w:r>
            <w:r w:rsidR="0002540E">
              <w:rPr>
                <w:rFonts w:ascii="Arial" w:eastAsia="Times New Roman" w:hAnsi="Arial" w:cs="Arial"/>
                <w:b w:val="0"/>
                <w:sz w:val="20"/>
                <w:szCs w:val="20"/>
                <w:lang w:val="el-GR" w:eastAsia="en-SG"/>
              </w:rPr>
              <w:t>οί</w:t>
            </w:r>
            <w:r w:rsidR="00703172" w:rsidRPr="00703172">
              <w:rPr>
                <w:rFonts w:ascii="Arial" w:eastAsia="Times New Roman" w:hAnsi="Arial" w:cs="Arial"/>
                <w:b w:val="0"/>
                <w:sz w:val="20"/>
                <w:szCs w:val="20"/>
                <w:lang w:val="el-GR" w:eastAsia="en-SG"/>
              </w:rPr>
              <w:t xml:space="preserve">, διαχειριστές κεφαλαίων κλπ. Ο υπουργός Παιδείας </w:t>
            </w:r>
            <w:r w:rsidR="00703172" w:rsidRPr="00703172">
              <w:rPr>
                <w:rFonts w:ascii="Arial" w:eastAsia="Times New Roman" w:hAnsi="Arial" w:cs="Arial"/>
                <w:b w:val="0"/>
                <w:sz w:val="20"/>
                <w:szCs w:val="20"/>
                <w:lang w:eastAsia="en-SG"/>
              </w:rPr>
              <w:t>Ong</w:t>
            </w:r>
            <w:r w:rsidR="00703172" w:rsidRPr="00703172">
              <w:rPr>
                <w:rFonts w:ascii="Arial" w:eastAsia="Times New Roman" w:hAnsi="Arial" w:cs="Arial"/>
                <w:b w:val="0"/>
                <w:sz w:val="20"/>
                <w:szCs w:val="20"/>
                <w:lang w:val="el-GR" w:eastAsia="en-SG"/>
              </w:rPr>
              <w:t xml:space="preserve"> </w:t>
            </w:r>
            <w:r w:rsidR="00703172" w:rsidRPr="00703172">
              <w:rPr>
                <w:rFonts w:ascii="Arial" w:eastAsia="Times New Roman" w:hAnsi="Arial" w:cs="Arial"/>
                <w:b w:val="0"/>
                <w:sz w:val="20"/>
                <w:szCs w:val="20"/>
                <w:lang w:eastAsia="en-SG"/>
              </w:rPr>
              <w:t>Ye</w:t>
            </w:r>
            <w:r w:rsidR="00703172" w:rsidRPr="00703172">
              <w:rPr>
                <w:rFonts w:ascii="Arial" w:eastAsia="Times New Roman" w:hAnsi="Arial" w:cs="Arial"/>
                <w:b w:val="0"/>
                <w:sz w:val="20"/>
                <w:szCs w:val="20"/>
                <w:lang w:val="el-GR" w:eastAsia="en-SG"/>
              </w:rPr>
              <w:t xml:space="preserve"> </w:t>
            </w:r>
            <w:r w:rsidR="00703172" w:rsidRPr="00703172">
              <w:rPr>
                <w:rFonts w:ascii="Arial" w:eastAsia="Times New Roman" w:hAnsi="Arial" w:cs="Arial"/>
                <w:b w:val="0"/>
                <w:sz w:val="20"/>
                <w:szCs w:val="20"/>
                <w:lang w:eastAsia="en-SG"/>
              </w:rPr>
              <w:t>Kung</w:t>
            </w:r>
            <w:r w:rsidR="00703172" w:rsidRPr="00703172">
              <w:rPr>
                <w:rFonts w:ascii="Arial" w:eastAsia="Times New Roman" w:hAnsi="Arial" w:cs="Arial"/>
                <w:b w:val="0"/>
                <w:sz w:val="20"/>
                <w:szCs w:val="20"/>
                <w:lang w:val="el-GR" w:eastAsia="en-SG"/>
              </w:rPr>
              <w:t xml:space="preserve">  και μέλος του ΔΣ της Νομισματικής Αρχής της Σιγκαπούρης (</w:t>
            </w:r>
            <w:r w:rsidR="00703172" w:rsidRPr="00703172">
              <w:rPr>
                <w:rFonts w:ascii="Arial" w:eastAsia="Times New Roman" w:hAnsi="Arial" w:cs="Arial"/>
                <w:b w:val="0"/>
                <w:sz w:val="20"/>
                <w:szCs w:val="20"/>
                <w:lang w:eastAsia="en-SG"/>
              </w:rPr>
              <w:t>MAS</w:t>
            </w:r>
            <w:r w:rsidR="00703172" w:rsidRPr="00703172">
              <w:rPr>
                <w:rFonts w:ascii="Arial" w:eastAsia="Times New Roman" w:hAnsi="Arial" w:cs="Arial"/>
                <w:b w:val="0"/>
                <w:sz w:val="20"/>
                <w:szCs w:val="20"/>
                <w:lang w:val="el-GR" w:eastAsia="en-SG"/>
              </w:rPr>
              <w:t xml:space="preserve">) ανέλυσε το σκεπτικό με το οποίο η Κυβέρνηση προχώρησε στην ίδρυση του </w:t>
            </w:r>
            <w:r w:rsidR="00703172" w:rsidRPr="00703172">
              <w:rPr>
                <w:rFonts w:ascii="Arial" w:eastAsia="Times New Roman" w:hAnsi="Arial" w:cs="Arial"/>
                <w:b w:val="0"/>
                <w:sz w:val="20"/>
                <w:szCs w:val="20"/>
                <w:lang w:eastAsia="en-SG"/>
              </w:rPr>
              <w:t>VCC</w:t>
            </w:r>
            <w:r w:rsidR="00703172" w:rsidRPr="00703172">
              <w:rPr>
                <w:rFonts w:ascii="Arial" w:eastAsia="Times New Roman" w:hAnsi="Arial" w:cs="Arial"/>
                <w:b w:val="0"/>
                <w:sz w:val="20"/>
                <w:szCs w:val="20"/>
                <w:lang w:val="el-GR" w:eastAsia="en-SG"/>
              </w:rPr>
              <w:t xml:space="preserve">, λέγοντας ότι παρόλη τη παγκόσμια οικονομική αστάθεια, η περιοχή της </w:t>
            </w:r>
            <w:proofErr w:type="spellStart"/>
            <w:r w:rsidR="00703172" w:rsidRPr="00703172">
              <w:rPr>
                <w:rFonts w:ascii="Arial" w:eastAsia="Times New Roman" w:hAnsi="Arial" w:cs="Arial"/>
                <w:b w:val="0"/>
                <w:sz w:val="20"/>
                <w:szCs w:val="20"/>
                <w:lang w:val="el-GR" w:eastAsia="en-SG"/>
              </w:rPr>
              <w:t>ΝΑσίας</w:t>
            </w:r>
            <w:proofErr w:type="spellEnd"/>
            <w:r w:rsidR="00703172" w:rsidRPr="00703172">
              <w:rPr>
                <w:rFonts w:ascii="Arial" w:eastAsia="Times New Roman" w:hAnsi="Arial" w:cs="Arial"/>
                <w:b w:val="0"/>
                <w:sz w:val="20"/>
                <w:szCs w:val="20"/>
                <w:lang w:val="el-GR" w:eastAsia="en-SG"/>
              </w:rPr>
              <w:t xml:space="preserve"> παραμένει ένας ελκυστικός επενδυτικός προορισμός και</w:t>
            </w:r>
            <w:r w:rsidR="0002540E">
              <w:rPr>
                <w:rFonts w:ascii="Arial" w:eastAsia="Times New Roman" w:hAnsi="Arial" w:cs="Arial"/>
                <w:b w:val="0"/>
                <w:sz w:val="20"/>
                <w:szCs w:val="20"/>
                <w:lang w:val="el-GR" w:eastAsia="en-SG"/>
              </w:rPr>
              <w:t xml:space="preserve"> σύμφωνα με αναλυτές τα</w:t>
            </w:r>
            <w:bookmarkStart w:id="0" w:name="_GoBack"/>
            <w:bookmarkEnd w:id="0"/>
            <w:r w:rsidR="00703172" w:rsidRPr="00703172">
              <w:rPr>
                <w:rFonts w:ascii="Arial" w:eastAsia="Times New Roman" w:hAnsi="Arial" w:cs="Arial"/>
                <w:b w:val="0"/>
                <w:sz w:val="20"/>
                <w:szCs w:val="20"/>
                <w:lang w:val="el-GR" w:eastAsia="en-SG"/>
              </w:rPr>
              <w:t xml:space="preserve"> υπό  διαχείριση κεφάλαια της Ασίας-Ειρηνικού αναμένεται να διπλασιαστούν, αγγίζοντας τα  30 τρις </w:t>
            </w:r>
            <w:r w:rsidR="00703172" w:rsidRPr="00703172">
              <w:rPr>
                <w:rFonts w:ascii="Arial" w:eastAsia="Times New Roman" w:hAnsi="Arial" w:cs="Arial"/>
                <w:b w:val="0"/>
                <w:sz w:val="20"/>
                <w:szCs w:val="20"/>
                <w:lang w:val="en-US" w:eastAsia="en-SG"/>
              </w:rPr>
              <w:t>USD</w:t>
            </w:r>
            <w:r w:rsidR="00703172" w:rsidRPr="00703172">
              <w:rPr>
                <w:rFonts w:ascii="Arial" w:eastAsia="Times New Roman" w:hAnsi="Arial" w:cs="Arial"/>
                <w:b w:val="0"/>
                <w:sz w:val="20"/>
                <w:szCs w:val="20"/>
                <w:lang w:val="el-GR" w:eastAsia="en-SG"/>
              </w:rPr>
              <w:t xml:space="preserve">,  την περίοδο 2017-2025. Τόνισε επίσης ότι η Σιγκαπούρη είναι δικαιούχος αυτής της περιφερειακής τάσης, καθώς η διαχείριση επενδύσεων, το ενεργητικό της οποίας ανέρχεται σε 3,3 τρις </w:t>
            </w:r>
            <w:r w:rsidR="00703172" w:rsidRPr="00703172">
              <w:rPr>
                <w:rFonts w:ascii="Arial" w:eastAsia="Times New Roman" w:hAnsi="Arial" w:cs="Arial"/>
                <w:b w:val="0"/>
                <w:sz w:val="20"/>
                <w:szCs w:val="20"/>
                <w:lang w:val="en-US" w:eastAsia="en-SG"/>
              </w:rPr>
              <w:t>SGD</w:t>
            </w:r>
            <w:r w:rsidR="00703172" w:rsidRPr="00703172">
              <w:rPr>
                <w:rFonts w:ascii="Arial" w:eastAsia="Times New Roman" w:hAnsi="Arial" w:cs="Arial"/>
                <w:b w:val="0"/>
                <w:sz w:val="20"/>
                <w:szCs w:val="20"/>
                <w:lang w:val="el-GR" w:eastAsia="en-SG"/>
              </w:rPr>
              <w:t xml:space="preserve">  έχει αυξηθεί κατά 15% ετησίως μεταξύ 2012 και 2017. Για το σκοπό αυτό, η κυβέρνηση της Σιγκαπούρης ίδρυσε</w:t>
            </w:r>
            <w:r w:rsidR="00703172">
              <w:rPr>
                <w:rFonts w:ascii="Arial" w:eastAsia="Times New Roman" w:hAnsi="Arial" w:cs="Arial"/>
                <w:b w:val="0"/>
                <w:sz w:val="20"/>
                <w:szCs w:val="20"/>
                <w:lang w:val="el-GR" w:eastAsia="en-SG"/>
              </w:rPr>
              <w:t xml:space="preserve"> επίσης </w:t>
            </w:r>
            <w:r w:rsidR="00703172" w:rsidRPr="00703172">
              <w:rPr>
                <w:rFonts w:ascii="Arial" w:eastAsia="Times New Roman" w:hAnsi="Arial" w:cs="Arial"/>
                <w:b w:val="0"/>
                <w:sz w:val="20"/>
                <w:szCs w:val="20"/>
                <w:lang w:val="el-GR" w:eastAsia="en-SG"/>
              </w:rPr>
              <w:t xml:space="preserve">το γραφείο  </w:t>
            </w:r>
            <w:r w:rsidR="00703172" w:rsidRPr="00703172">
              <w:rPr>
                <w:rFonts w:ascii="Arial" w:eastAsia="Times New Roman" w:hAnsi="Arial" w:cs="Arial"/>
                <w:b w:val="0"/>
                <w:sz w:val="20"/>
                <w:szCs w:val="20"/>
                <w:lang w:eastAsia="en-SG"/>
              </w:rPr>
              <w:t>Infrastructure</w:t>
            </w:r>
            <w:r w:rsidR="00703172" w:rsidRPr="00703172">
              <w:rPr>
                <w:rFonts w:ascii="Arial" w:eastAsia="Times New Roman" w:hAnsi="Arial" w:cs="Arial"/>
                <w:b w:val="0"/>
                <w:sz w:val="20"/>
                <w:szCs w:val="20"/>
                <w:lang w:val="el-GR" w:eastAsia="en-SG"/>
              </w:rPr>
              <w:t xml:space="preserve"> </w:t>
            </w:r>
            <w:r w:rsidR="00703172" w:rsidRPr="00703172">
              <w:rPr>
                <w:rFonts w:ascii="Arial" w:eastAsia="Times New Roman" w:hAnsi="Arial" w:cs="Arial"/>
                <w:b w:val="0"/>
                <w:sz w:val="20"/>
                <w:szCs w:val="20"/>
                <w:lang w:eastAsia="en-SG"/>
              </w:rPr>
              <w:t>Asia</w:t>
            </w:r>
            <w:r w:rsidR="00703172" w:rsidRPr="00703172">
              <w:rPr>
                <w:rFonts w:ascii="Arial" w:eastAsia="Times New Roman" w:hAnsi="Arial" w:cs="Arial"/>
                <w:b w:val="0"/>
                <w:sz w:val="20"/>
                <w:szCs w:val="20"/>
                <w:lang w:val="el-GR" w:eastAsia="en-SG"/>
              </w:rPr>
              <w:t xml:space="preserve"> προκειμένου να συνδέσει τους τοπικούς και διεθνείς συμμετέχοντες στην </w:t>
            </w:r>
            <w:r w:rsidR="00703172">
              <w:rPr>
                <w:rFonts w:ascii="Arial" w:eastAsia="Times New Roman" w:hAnsi="Arial" w:cs="Arial"/>
                <w:b w:val="0"/>
                <w:sz w:val="20"/>
                <w:szCs w:val="20"/>
                <w:lang w:val="el-GR" w:eastAsia="en-SG"/>
              </w:rPr>
              <w:t xml:space="preserve">κατασκευή έργων υποδομών, ενισχύοντας παράλληλα </w:t>
            </w:r>
            <w:r w:rsidR="00703172" w:rsidRPr="00703172">
              <w:rPr>
                <w:rFonts w:ascii="Arial" w:eastAsia="Times New Roman" w:hAnsi="Arial" w:cs="Arial"/>
                <w:b w:val="0"/>
                <w:sz w:val="20"/>
                <w:szCs w:val="20"/>
                <w:lang w:val="el-GR" w:eastAsia="en-SG"/>
              </w:rPr>
              <w:t>την ανταλλαγή πληροφοριών και την πρόσβαση σε επαγγελματικές υπηρεσίες</w:t>
            </w:r>
            <w:r w:rsidR="00703172">
              <w:rPr>
                <w:rFonts w:ascii="Arial" w:eastAsia="Times New Roman" w:hAnsi="Arial" w:cs="Arial"/>
                <w:b w:val="0"/>
                <w:sz w:val="20"/>
                <w:szCs w:val="20"/>
                <w:lang w:val="el-GR" w:eastAsia="en-SG"/>
              </w:rPr>
              <w:t xml:space="preserve">, για τους ενδιαφερόμενους </w:t>
            </w:r>
            <w:r w:rsidR="003E3C3D" w:rsidRPr="00703172">
              <w:rPr>
                <w:rFonts w:ascii="Arial" w:hAnsi="Arial" w:cs="Arial"/>
                <w:sz w:val="18"/>
                <w:szCs w:val="18"/>
                <w:lang w:val="el-GR"/>
              </w:rPr>
              <w:t xml:space="preserve">ΠΗΓΗ: </w:t>
            </w:r>
            <w:r w:rsidR="003E3C3D" w:rsidRPr="00703172">
              <w:rPr>
                <w:rFonts w:ascii="Arial" w:hAnsi="Arial" w:cs="Arial"/>
                <w:sz w:val="18"/>
                <w:szCs w:val="18"/>
                <w:lang w:val="en-US"/>
              </w:rPr>
              <w:t>STRAITSTIMES</w:t>
            </w:r>
            <w:r w:rsidR="003E3C3D" w:rsidRPr="00703172">
              <w:rPr>
                <w:rFonts w:ascii="Arial" w:hAnsi="Arial" w:cs="Arial"/>
                <w:sz w:val="18"/>
                <w:szCs w:val="18"/>
                <w:lang w:val="el-GR"/>
              </w:rPr>
              <w:t xml:space="preserve"> </w:t>
            </w:r>
            <w:r w:rsidR="00703172" w:rsidRPr="00703172">
              <w:rPr>
                <w:rFonts w:ascii="Arial" w:hAnsi="Arial" w:cs="Arial"/>
                <w:sz w:val="18"/>
                <w:szCs w:val="18"/>
                <w:lang w:val="el-GR"/>
              </w:rPr>
              <w:t>09</w:t>
            </w:r>
            <w:r w:rsidR="00C73A33" w:rsidRPr="00703172">
              <w:rPr>
                <w:rFonts w:ascii="Arial" w:hAnsi="Arial" w:cs="Arial"/>
                <w:sz w:val="18"/>
                <w:szCs w:val="18"/>
                <w:lang w:val="el-GR"/>
              </w:rPr>
              <w:t>/</w:t>
            </w:r>
            <w:r w:rsidR="00703172" w:rsidRPr="00703172">
              <w:rPr>
                <w:rFonts w:ascii="Arial" w:hAnsi="Arial" w:cs="Arial"/>
                <w:sz w:val="18"/>
                <w:szCs w:val="18"/>
                <w:lang w:val="el-GR"/>
              </w:rPr>
              <w:t>05</w:t>
            </w:r>
            <w:r w:rsidR="00C73A33" w:rsidRPr="00703172">
              <w:rPr>
                <w:rFonts w:ascii="Arial" w:hAnsi="Arial" w:cs="Arial"/>
                <w:sz w:val="18"/>
                <w:szCs w:val="18"/>
                <w:lang w:val="el-GR"/>
              </w:rPr>
              <w:t>/2019</w:t>
            </w:r>
          </w:p>
          <w:p w:rsidR="005053D5" w:rsidRPr="00703172" w:rsidRDefault="00703172" w:rsidP="0092158E">
            <w:pPr>
              <w:jc w:val="both"/>
              <w:rPr>
                <w:rFonts w:ascii="Arial Black" w:hAnsi="Arial Black"/>
                <w:sz w:val="20"/>
                <w:szCs w:val="20"/>
                <w:lang w:val="el-GR"/>
              </w:rPr>
            </w:pPr>
            <w:r>
              <w:rPr>
                <w:rFonts w:ascii="Arial" w:eastAsia="Times New Roman" w:hAnsi="Arial" w:cs="Arial"/>
                <w:sz w:val="20"/>
                <w:szCs w:val="20"/>
                <w:lang w:val="el-GR" w:eastAsia="en-SG"/>
              </w:rPr>
              <w:t xml:space="preserve">4. </w:t>
            </w:r>
            <w:r w:rsidRPr="008F4E4F">
              <w:rPr>
                <w:rFonts w:ascii="Arial" w:eastAsia="Times New Roman" w:hAnsi="Arial" w:cs="Arial"/>
                <w:sz w:val="20"/>
                <w:szCs w:val="20"/>
                <w:lang w:val="el-GR" w:eastAsia="en-SG"/>
              </w:rPr>
              <w:t>ΧΕΙΡΑΓΩΓΗΣΗ ΣΥΝΑΛΛΑΓΜΑΤΙΚΗΣ ΙΣΟΤΙΜΙΑΣ.</w:t>
            </w:r>
            <w:r w:rsidRPr="008F4E4F">
              <w:rPr>
                <w:rFonts w:ascii="Arial" w:eastAsia="Times New Roman" w:hAnsi="Arial" w:cs="Arial"/>
                <w:b w:val="0"/>
                <w:sz w:val="20"/>
                <w:szCs w:val="20"/>
                <w:lang w:val="el-GR" w:eastAsia="en-SG"/>
              </w:rPr>
              <w:t xml:space="preserve"> Οι ΗΠΑ πρόσθεσαν τη Σιγκαπούρη στη λίστα παρακολούθησης για τη χειραγώγηση συναλλαγματικών ισοτιμιών, δηλώνοντας ότι η Πόλη –Κράτος, εντός του 2018 προέβη σε εκτιμώμενες καθαρές αγορές συναλλάγματος, ύψους τουλάχιστον 17 δις </w:t>
            </w:r>
            <w:r w:rsidRPr="008F4E4F">
              <w:rPr>
                <w:rFonts w:ascii="Arial" w:eastAsia="Times New Roman" w:hAnsi="Arial" w:cs="Arial"/>
                <w:b w:val="0"/>
                <w:sz w:val="20"/>
                <w:szCs w:val="20"/>
                <w:lang w:val="en-US" w:eastAsia="en-SG"/>
              </w:rPr>
              <w:t>USD</w:t>
            </w:r>
            <w:r w:rsidRPr="008F4E4F">
              <w:rPr>
                <w:rFonts w:ascii="Arial" w:eastAsia="Times New Roman" w:hAnsi="Arial" w:cs="Arial"/>
                <w:b w:val="0"/>
                <w:sz w:val="20"/>
                <w:szCs w:val="20"/>
                <w:lang w:val="el-GR" w:eastAsia="en-SG"/>
              </w:rPr>
              <w:t xml:space="preserve"> (23,48 δις </w:t>
            </w:r>
            <w:r w:rsidR="0092158E">
              <w:rPr>
                <w:rFonts w:ascii="Arial" w:eastAsia="Times New Roman" w:hAnsi="Arial" w:cs="Arial"/>
                <w:b w:val="0"/>
                <w:sz w:val="20"/>
                <w:szCs w:val="20"/>
                <w:lang w:val="en-US" w:eastAsia="en-SG"/>
              </w:rPr>
              <w:t>SG</w:t>
            </w:r>
            <w:r w:rsidRPr="008F4E4F">
              <w:rPr>
                <w:rFonts w:ascii="Arial" w:eastAsia="Times New Roman" w:hAnsi="Arial" w:cs="Arial"/>
                <w:b w:val="0"/>
                <w:sz w:val="20"/>
                <w:szCs w:val="20"/>
                <w:lang w:val="en-US" w:eastAsia="en-SG"/>
              </w:rPr>
              <w:t>D</w:t>
            </w:r>
            <w:r w:rsidRPr="008F4E4F">
              <w:rPr>
                <w:rFonts w:ascii="Arial" w:eastAsia="Times New Roman" w:hAnsi="Arial" w:cs="Arial"/>
                <w:b w:val="0"/>
                <w:sz w:val="20"/>
                <w:szCs w:val="20"/>
                <w:lang w:val="el-GR" w:eastAsia="en-SG"/>
              </w:rPr>
              <w:t xml:space="preserve">), οι οποίες αντιστοιχούν στο 4,6% του ΑΠΕ της χώρας. Η αμερικανική έκθεση αναφέρει ότι η Σιγκαπούρη πρέπει να προβεί σε μεταρρυθμίσεις που θα μειώσουν το υψηλό ποσοστό αποταμίευσής και θα ενισχύσουν τη περιορισμένη εγχώρια κατανάλωση, προσπαθώντας παράλληλα να εξασφαλίσει ότι η πραγματική συναλλαγματική ισοτιμία της θα είναι σύμφωνη με τα οικονομικά μεγέθη, προκειμένου να μειωθεί το μεγάλο και συνεχές εξωτερικό πλεόνασμα. Στην τελευταία έκθεση συναλλάγματος (η οποία διεξάγεται δύο φορές το χρόνο) το Ομοσπονδιακό  Υπουργείο Οικονομικών διεύρυνε τον κατάλογο των κρατών που μελέτησε από 12 σε 21, μειώνοντας το όριο για αναθεώρηση σε τομείς όπως: ο όγκος του εμπορικού πλεονάσματος της χώρας με τις ΗΠΑ, ο όγκος </w:t>
            </w:r>
            <w:r w:rsidR="0092158E">
              <w:rPr>
                <w:rFonts w:ascii="Arial" w:eastAsia="Times New Roman" w:hAnsi="Arial" w:cs="Arial"/>
                <w:b w:val="0"/>
                <w:sz w:val="20"/>
                <w:szCs w:val="20"/>
                <w:lang w:val="el-GR" w:eastAsia="en-SG"/>
              </w:rPr>
              <w:t xml:space="preserve">του </w:t>
            </w:r>
            <w:r w:rsidRPr="008F4E4F">
              <w:rPr>
                <w:rFonts w:ascii="Arial" w:eastAsia="Times New Roman" w:hAnsi="Arial" w:cs="Arial"/>
                <w:b w:val="0"/>
                <w:sz w:val="20"/>
                <w:szCs w:val="20"/>
                <w:lang w:val="el-GR" w:eastAsia="en-SG"/>
              </w:rPr>
              <w:t>εμπορικ</w:t>
            </w:r>
            <w:r w:rsidR="0092158E">
              <w:rPr>
                <w:rFonts w:ascii="Arial" w:eastAsia="Times New Roman" w:hAnsi="Arial" w:cs="Arial"/>
                <w:b w:val="0"/>
                <w:sz w:val="20"/>
                <w:szCs w:val="20"/>
                <w:lang w:val="el-GR" w:eastAsia="en-SG"/>
              </w:rPr>
              <w:t xml:space="preserve">ού </w:t>
            </w:r>
            <w:r w:rsidRPr="008F4E4F">
              <w:rPr>
                <w:rFonts w:ascii="Arial" w:eastAsia="Times New Roman" w:hAnsi="Arial" w:cs="Arial"/>
                <w:b w:val="0"/>
                <w:sz w:val="20"/>
                <w:szCs w:val="20"/>
                <w:lang w:val="el-GR" w:eastAsia="en-SG"/>
              </w:rPr>
              <w:t>πλε</w:t>
            </w:r>
            <w:r w:rsidR="0092158E">
              <w:rPr>
                <w:rFonts w:ascii="Arial" w:eastAsia="Times New Roman" w:hAnsi="Arial" w:cs="Arial"/>
                <w:b w:val="0"/>
                <w:sz w:val="20"/>
                <w:szCs w:val="20"/>
                <w:lang w:val="el-GR" w:eastAsia="en-SG"/>
              </w:rPr>
              <w:t xml:space="preserve">ονάσματος </w:t>
            </w:r>
            <w:r w:rsidRPr="008F4E4F">
              <w:rPr>
                <w:rFonts w:ascii="Arial" w:eastAsia="Times New Roman" w:hAnsi="Arial" w:cs="Arial"/>
                <w:b w:val="0"/>
                <w:sz w:val="20"/>
                <w:szCs w:val="20"/>
                <w:lang w:val="el-GR" w:eastAsia="en-SG"/>
              </w:rPr>
              <w:t>της χώρας με τον κόσμο και</w:t>
            </w:r>
            <w:r w:rsidR="0092158E">
              <w:rPr>
                <w:rFonts w:ascii="Arial" w:eastAsia="Times New Roman" w:hAnsi="Arial" w:cs="Arial"/>
                <w:b w:val="0"/>
                <w:sz w:val="20"/>
                <w:szCs w:val="20"/>
                <w:lang w:val="el-GR" w:eastAsia="en-SG"/>
              </w:rPr>
              <w:t>,</w:t>
            </w:r>
            <w:r w:rsidRPr="008F4E4F">
              <w:rPr>
                <w:rFonts w:ascii="Arial" w:eastAsia="Times New Roman" w:hAnsi="Arial" w:cs="Arial"/>
                <w:b w:val="0"/>
                <w:sz w:val="20"/>
                <w:szCs w:val="20"/>
                <w:lang w:val="el-GR" w:eastAsia="en-SG"/>
              </w:rPr>
              <w:t xml:space="preserve"> τη συχνότητα με την οποία η χώρα παρεμβαίνει στις αγορές συναλλάγματος. Αυτό είχε ως αποτέλεσμα, ο αριθμός των χωρών που περιλαμβάνονται στον κατάλογο παρακολούθησης να ανέρχεται σε εννέα από έξι στην προηγούμενη έκθεση (10/2019). Εκτός από τη Σιγκαπούρη, 4 χώρες προστέθηκαν στη λίστα παρακολούθησης: Ιρλανδία, Ιταλία, Μαλαισία και Βιετνάμ, 4 παρέμειναν στον κατάλογο: Κίνα, Γερμανία, Ιαπωνία και Νότια Κορέα ενώ, απομακρύνθηκαν η Ινδία και η Ελβετία.</w:t>
            </w:r>
            <w:r w:rsidRPr="008F4E4F">
              <w:rPr>
                <w:rFonts w:ascii="Arial" w:hAnsi="Arial" w:cs="Arial"/>
                <w:b w:val="0"/>
                <w:sz w:val="20"/>
                <w:szCs w:val="20"/>
                <w:lang w:val="el-GR"/>
              </w:rPr>
              <w:t xml:space="preserve"> Οι χώρες με πλεόνασμα στο ισοζυγίου τρεχουσών συναλλαγών με τις ΗΠΑ, το οποίο ισοδυναμεί με 2% του ΑΕΠ (από 3%) είναι πλέον επιλέξιμες για τον κατάλογο, ενώ το όριο για το εμπορικό πλεόνασμα με τις ΗΠΑ μειώθηκε στα 20 </w:t>
            </w:r>
            <w:r w:rsidRPr="008F4E4F">
              <w:rPr>
                <w:rFonts w:ascii="Arial" w:eastAsia="Times New Roman" w:hAnsi="Arial" w:cs="Arial"/>
                <w:b w:val="0"/>
                <w:sz w:val="20"/>
                <w:szCs w:val="20"/>
                <w:lang w:val="el-GR" w:eastAsia="en-SG"/>
              </w:rPr>
              <w:t xml:space="preserve">δις </w:t>
            </w:r>
            <w:r w:rsidRPr="008F4E4F">
              <w:rPr>
                <w:rFonts w:ascii="Arial" w:eastAsia="Times New Roman" w:hAnsi="Arial" w:cs="Arial"/>
                <w:b w:val="0"/>
                <w:sz w:val="20"/>
                <w:szCs w:val="20"/>
                <w:lang w:val="en-US" w:eastAsia="en-SG"/>
              </w:rPr>
              <w:t>USD</w:t>
            </w:r>
            <w:r w:rsidRPr="008F4E4F">
              <w:rPr>
                <w:rFonts w:ascii="Arial" w:hAnsi="Arial" w:cs="Arial"/>
                <w:b w:val="0"/>
                <w:sz w:val="20"/>
                <w:szCs w:val="20"/>
                <w:lang w:val="el-GR"/>
              </w:rPr>
              <w:t xml:space="preserve"> . Χώρες που πληρούν δύο από τα τρία κριτήρια που προαναφέρθηκαν, τοποθετούνται στον κατάλογο παρακολούθησης, όπου τα εμπορικά πλεονάσματα τους με τις Ηνωμένες Πολιτείες και άλλοι δείκτες παρακολουθούνται στενά. Σύμφωνα με νόμο του 1988, το </w:t>
            </w:r>
            <w:r w:rsidRPr="008F4E4F">
              <w:rPr>
                <w:rFonts w:ascii="Arial" w:eastAsia="Times New Roman" w:hAnsi="Arial" w:cs="Arial"/>
                <w:b w:val="0"/>
                <w:sz w:val="20"/>
                <w:szCs w:val="20"/>
                <w:lang w:val="el-GR" w:eastAsia="en-SG"/>
              </w:rPr>
              <w:t>Ομοσπονδιακό</w:t>
            </w:r>
            <w:r w:rsidRPr="008F4E4F">
              <w:rPr>
                <w:rFonts w:ascii="Arial" w:hAnsi="Arial" w:cs="Arial"/>
                <w:b w:val="0"/>
                <w:sz w:val="20"/>
                <w:szCs w:val="20"/>
                <w:lang w:val="el-GR"/>
              </w:rPr>
              <w:t xml:space="preserve"> Υπουργείο Οικονομικών υποχρεούται να υποβάλλει έκθεση στο Κογκρέσο κάθε έξι μήνες σχετικά με το εάν οι χώρες χειραγωγούν τα νομίσματά τους για να αποκτήσουν εμπορικά πλεονεκτήματα έναντι των ΗΠΑ. Όσοι βρεθούν να το κάνουν μπορούν να αντιμετωπίσουν εμπορικές κυρώσεις.</w:t>
            </w:r>
            <w:r w:rsidRPr="003E3C3D">
              <w:rPr>
                <w:rFonts w:ascii="Arial" w:hAnsi="Arial" w:cs="Arial"/>
                <w:sz w:val="16"/>
                <w:szCs w:val="16"/>
                <w:lang w:val="el-GR"/>
              </w:rPr>
              <w:t xml:space="preserve"> ΠΗΓΗ</w:t>
            </w:r>
            <w:r w:rsidRPr="0064370A">
              <w:rPr>
                <w:rFonts w:ascii="Arial" w:hAnsi="Arial" w:cs="Arial"/>
                <w:sz w:val="16"/>
                <w:szCs w:val="16"/>
              </w:rPr>
              <w:t xml:space="preserve">: </w:t>
            </w:r>
            <w:r w:rsidRPr="003E3C3D">
              <w:rPr>
                <w:rFonts w:ascii="Arial" w:hAnsi="Arial" w:cs="Arial"/>
                <w:sz w:val="16"/>
                <w:szCs w:val="16"/>
                <w:lang w:val="en-US"/>
              </w:rPr>
              <w:t>STRAITSTIMES</w:t>
            </w:r>
            <w:r w:rsidRPr="0064370A">
              <w:rPr>
                <w:rFonts w:ascii="Arial" w:hAnsi="Arial" w:cs="Arial"/>
                <w:sz w:val="16"/>
                <w:szCs w:val="16"/>
              </w:rPr>
              <w:t xml:space="preserve"> 29/5/2019</w:t>
            </w:r>
          </w:p>
        </w:tc>
      </w:tr>
      <w:tr w:rsidR="007C194B" w:rsidRPr="00703172" w:rsidTr="00452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Pr>
          <w:p w:rsidR="007C194B" w:rsidRPr="00AE5440" w:rsidRDefault="007C194B" w:rsidP="00AE5440">
            <w:pPr>
              <w:spacing w:before="100" w:beforeAutospacing="1" w:after="100" w:afterAutospacing="1"/>
              <w:jc w:val="both"/>
              <w:outlineLvl w:val="0"/>
              <w:rPr>
                <w:rFonts w:ascii="Arial" w:hAnsi="Arial" w:cs="Arial"/>
                <w:sz w:val="20"/>
                <w:szCs w:val="20"/>
                <w:lang w:val="el-GR"/>
              </w:rPr>
            </w:pPr>
          </w:p>
        </w:tc>
      </w:tr>
      <w:tr w:rsidR="00404793" w:rsidRPr="00DA6A35" w:rsidTr="00C73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Pr>
          <w:p w:rsidR="0033511C" w:rsidRPr="00412088" w:rsidRDefault="00404793" w:rsidP="00412088">
            <w:pPr>
              <w:ind w:firstLine="34"/>
              <w:jc w:val="both"/>
              <w:rPr>
                <w:sz w:val="32"/>
                <w:szCs w:val="32"/>
                <w:lang w:val="en-US"/>
              </w:rPr>
            </w:pPr>
            <w:r w:rsidRPr="00703172">
              <w:rPr>
                <w:rFonts w:ascii="Arial Black" w:hAnsi="Arial Black"/>
                <w:b w:val="0"/>
                <w:sz w:val="28"/>
                <w:szCs w:val="28"/>
                <w:lang w:val="el-GR"/>
              </w:rPr>
              <w:t xml:space="preserve">                        </w:t>
            </w:r>
            <w:r w:rsidR="0033511C" w:rsidRPr="00703172">
              <w:rPr>
                <w:rFonts w:ascii="Arial Black" w:hAnsi="Arial Black"/>
                <w:b w:val="0"/>
                <w:sz w:val="28"/>
                <w:szCs w:val="28"/>
                <w:lang w:val="el-GR"/>
              </w:rPr>
              <w:t xml:space="preserve">   </w:t>
            </w:r>
            <w:r w:rsidR="001D351B" w:rsidRPr="00703172">
              <w:rPr>
                <w:rFonts w:ascii="Arial Black" w:hAnsi="Arial Black"/>
                <w:b w:val="0"/>
                <w:sz w:val="28"/>
                <w:szCs w:val="28"/>
                <w:lang w:val="el-GR"/>
              </w:rPr>
              <w:t xml:space="preserve"> </w:t>
            </w:r>
            <w:r w:rsidR="00412088" w:rsidRPr="00703172">
              <w:rPr>
                <w:rFonts w:ascii="Arial Black" w:hAnsi="Arial Black"/>
                <w:b w:val="0"/>
                <w:sz w:val="28"/>
                <w:szCs w:val="28"/>
                <w:lang w:val="el-GR"/>
              </w:rPr>
              <w:t xml:space="preserve">       </w:t>
            </w:r>
            <w:r w:rsidRPr="0033511C">
              <w:rPr>
                <w:rFonts w:ascii="Arial Black" w:hAnsi="Arial Black"/>
                <w:sz w:val="28"/>
                <w:szCs w:val="28"/>
                <w:lang w:val="el-GR"/>
              </w:rPr>
              <w:t>ΕΠΙΚΑΙΡΟΤΗΤΑ</w:t>
            </w:r>
            <w:r w:rsidR="0033511C" w:rsidRPr="0033511C">
              <w:rPr>
                <w:sz w:val="28"/>
                <w:szCs w:val="28"/>
                <w:lang w:val="el-GR"/>
              </w:rPr>
              <w:t xml:space="preserve">   </w:t>
            </w:r>
          </w:p>
        </w:tc>
      </w:tr>
      <w:tr w:rsidR="001D351B" w:rsidRPr="00B247DD" w:rsidTr="00C73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Pr>
          <w:p w:rsidR="00B10494" w:rsidRDefault="001D351B" w:rsidP="0092158E">
            <w:pPr>
              <w:spacing w:before="100" w:beforeAutospacing="1" w:after="100" w:afterAutospacing="1"/>
              <w:jc w:val="both"/>
              <w:rPr>
                <w:rFonts w:ascii="Arial" w:hAnsi="Arial" w:cs="Arial"/>
                <w:sz w:val="28"/>
                <w:szCs w:val="28"/>
                <w:lang w:val="el-GR"/>
              </w:rPr>
            </w:pPr>
            <w:r w:rsidRPr="003B10DA">
              <w:rPr>
                <w:rFonts w:ascii="Arial" w:eastAsia="Times New Roman" w:hAnsi="Arial" w:cs="Arial"/>
                <w:sz w:val="28"/>
                <w:szCs w:val="28"/>
                <w:lang w:val="el-GR" w:eastAsia="en-SG"/>
              </w:rPr>
              <w:t>1.</w:t>
            </w:r>
            <w:r w:rsidR="003B10DA" w:rsidRPr="00E769CB">
              <w:rPr>
                <w:rFonts w:ascii="Times New Roman" w:eastAsia="Times New Roman" w:hAnsi="Times New Roman" w:cs="Times New Roman"/>
                <w:sz w:val="24"/>
                <w:szCs w:val="24"/>
                <w:lang w:val="el-GR" w:eastAsia="en-SG"/>
              </w:rPr>
              <w:t xml:space="preserve"> </w:t>
            </w:r>
            <w:r w:rsidR="003B10DA" w:rsidRPr="003B10DA">
              <w:rPr>
                <w:rFonts w:ascii="Arial" w:eastAsia="Times New Roman" w:hAnsi="Arial" w:cs="Arial"/>
                <w:sz w:val="20"/>
                <w:szCs w:val="20"/>
                <w:lang w:val="el-GR" w:eastAsia="en-SG"/>
              </w:rPr>
              <w:t xml:space="preserve">ΚΑΙΝΟΤΟΜΙΑ ΚΑΙ </w:t>
            </w:r>
            <w:r w:rsidR="003B10DA" w:rsidRPr="003B10DA">
              <w:rPr>
                <w:rFonts w:ascii="Arial" w:eastAsia="Times New Roman" w:hAnsi="Arial" w:cs="Arial"/>
                <w:sz w:val="20"/>
                <w:szCs w:val="20"/>
                <w:lang w:eastAsia="en-SG"/>
              </w:rPr>
              <w:t>REAL</w:t>
            </w:r>
            <w:r w:rsidR="003B10DA" w:rsidRPr="003B10DA">
              <w:rPr>
                <w:rFonts w:ascii="Arial" w:eastAsia="Times New Roman" w:hAnsi="Arial" w:cs="Arial"/>
                <w:sz w:val="20"/>
                <w:szCs w:val="20"/>
                <w:lang w:val="el-GR" w:eastAsia="en-SG"/>
              </w:rPr>
              <w:t xml:space="preserve"> </w:t>
            </w:r>
            <w:r w:rsidR="003B10DA" w:rsidRPr="003B10DA">
              <w:rPr>
                <w:rFonts w:ascii="Arial" w:eastAsia="Times New Roman" w:hAnsi="Arial" w:cs="Arial"/>
                <w:sz w:val="20"/>
                <w:szCs w:val="20"/>
                <w:lang w:eastAsia="en-SG"/>
              </w:rPr>
              <w:t>ESTATE</w:t>
            </w:r>
            <w:r w:rsidR="003B10DA" w:rsidRPr="003B10DA">
              <w:rPr>
                <w:rFonts w:ascii="Arial" w:eastAsia="Times New Roman" w:hAnsi="Arial" w:cs="Arial"/>
                <w:b w:val="0"/>
                <w:sz w:val="20"/>
                <w:szCs w:val="20"/>
                <w:lang w:val="el-GR" w:eastAsia="en-SG"/>
              </w:rPr>
              <w:t xml:space="preserve"> Η Σιγκαπούρη είναι η τρίτη πιο καινοτόμος πόλη στον κόσμο, σύμφωνα με έκθεση της εταιρείας συμβούλων ακινήτων </w:t>
            </w:r>
            <w:r w:rsidR="003B10DA" w:rsidRPr="003B10DA">
              <w:rPr>
                <w:rFonts w:ascii="Arial" w:eastAsia="Times New Roman" w:hAnsi="Arial" w:cs="Arial"/>
                <w:b w:val="0"/>
                <w:sz w:val="20"/>
                <w:szCs w:val="20"/>
                <w:lang w:eastAsia="en-SG"/>
              </w:rPr>
              <w:t>JLL</w:t>
            </w:r>
            <w:r w:rsidR="003B10DA" w:rsidRPr="003B10DA">
              <w:rPr>
                <w:rFonts w:ascii="Arial" w:eastAsia="Times New Roman" w:hAnsi="Arial" w:cs="Arial"/>
                <w:b w:val="0"/>
                <w:sz w:val="20"/>
                <w:szCs w:val="20"/>
                <w:lang w:val="el-GR" w:eastAsia="en-SG"/>
              </w:rPr>
              <w:t xml:space="preserve">, με την καινοτομία να αποτελεί παράγοντα, ο οποίος επηρεάζει τις στρατηγικές επενδύσεις σε ακίνητα. </w:t>
            </w:r>
            <w:r w:rsidR="003B10DA" w:rsidRPr="003B10DA">
              <w:rPr>
                <w:rFonts w:ascii="Arial" w:eastAsia="Times New Roman" w:hAnsi="Arial" w:cs="Arial"/>
                <w:b w:val="0"/>
                <w:sz w:val="20"/>
                <w:szCs w:val="20"/>
                <w:lang w:val="en-US" w:eastAsia="en-SG"/>
              </w:rPr>
              <w:t>H</w:t>
            </w:r>
            <w:r w:rsidR="003B10DA" w:rsidRPr="003B10DA">
              <w:rPr>
                <w:rFonts w:ascii="Arial" w:eastAsia="Times New Roman" w:hAnsi="Arial" w:cs="Arial"/>
                <w:b w:val="0"/>
                <w:sz w:val="20"/>
                <w:szCs w:val="20"/>
                <w:lang w:val="el-GR" w:eastAsia="en-SG"/>
              </w:rPr>
              <w:t xml:space="preserve"> Πόλη- Κράτος, μετά το Σαν Φρανσίσκο και το Τόκιο, υποστηρίζεται από </w:t>
            </w:r>
            <w:r w:rsidR="008D6AE3">
              <w:rPr>
                <w:rFonts w:ascii="Arial" w:eastAsia="Times New Roman" w:hAnsi="Arial" w:cs="Arial"/>
                <w:b w:val="0"/>
                <w:sz w:val="20"/>
                <w:szCs w:val="20"/>
                <w:lang w:val="el-GR" w:eastAsia="en-SG"/>
              </w:rPr>
              <w:t xml:space="preserve">μεγάλο όγκο </w:t>
            </w:r>
            <w:r w:rsidR="003B10DA" w:rsidRPr="003B10DA">
              <w:rPr>
                <w:rFonts w:ascii="Arial" w:eastAsia="Times New Roman" w:hAnsi="Arial" w:cs="Arial"/>
                <w:b w:val="0"/>
                <w:sz w:val="20"/>
                <w:szCs w:val="20"/>
                <w:lang w:val="el-GR" w:eastAsia="en-SG"/>
              </w:rPr>
              <w:t>ξένων επενδύσεων και ένα ταχέως αναπτυσσόμενο σκηνικό νεοφυών επιχειρήσεων, ενώ αποτελεί περιφερειακό κόμβο για έρευνα και ανάπτυξη και υπηρεσίες και κορυφαίο προορισμό στον κόσμο ΑΞΕ σε βιομηχανίες υψηλής τεχνολογίας, σύμφωνα με την ίδια έκθεση (</w:t>
            </w:r>
            <w:r w:rsidR="003B10DA" w:rsidRPr="003B10DA">
              <w:rPr>
                <w:rFonts w:ascii="Arial" w:eastAsia="Times New Roman" w:hAnsi="Arial" w:cs="Arial"/>
                <w:b w:val="0"/>
                <w:sz w:val="20"/>
                <w:szCs w:val="20"/>
                <w:lang w:val="en-US" w:eastAsia="en-SG"/>
              </w:rPr>
              <w:t>Report</w:t>
            </w:r>
            <w:r w:rsidR="003B10DA" w:rsidRPr="003B10DA">
              <w:rPr>
                <w:rFonts w:ascii="Arial" w:eastAsia="Times New Roman" w:hAnsi="Arial" w:cs="Arial"/>
                <w:b w:val="0"/>
                <w:sz w:val="20"/>
                <w:szCs w:val="20"/>
                <w:lang w:val="el-GR" w:eastAsia="en-SG"/>
              </w:rPr>
              <w:t xml:space="preserve">  </w:t>
            </w:r>
            <w:r w:rsidR="003B10DA" w:rsidRPr="003B10DA">
              <w:rPr>
                <w:rFonts w:ascii="Arial" w:eastAsia="Times New Roman" w:hAnsi="Arial" w:cs="Arial"/>
                <w:b w:val="0"/>
                <w:sz w:val="20"/>
                <w:szCs w:val="20"/>
                <w:lang w:eastAsia="en-SG"/>
              </w:rPr>
              <w:t>Innovation</w:t>
            </w:r>
            <w:r w:rsidR="003B10DA" w:rsidRPr="003B10DA">
              <w:rPr>
                <w:rFonts w:ascii="Arial" w:eastAsia="Times New Roman" w:hAnsi="Arial" w:cs="Arial"/>
                <w:b w:val="0"/>
                <w:sz w:val="20"/>
                <w:szCs w:val="20"/>
                <w:lang w:val="el-GR" w:eastAsia="en-SG"/>
              </w:rPr>
              <w:t xml:space="preserve"> </w:t>
            </w:r>
            <w:r w:rsidR="003B10DA" w:rsidRPr="003B10DA">
              <w:rPr>
                <w:rFonts w:ascii="Arial" w:eastAsia="Times New Roman" w:hAnsi="Arial" w:cs="Arial"/>
                <w:b w:val="0"/>
                <w:sz w:val="20"/>
                <w:szCs w:val="20"/>
                <w:lang w:eastAsia="en-SG"/>
              </w:rPr>
              <w:t>Geographies</w:t>
            </w:r>
            <w:r w:rsidR="003B10DA" w:rsidRPr="003B10DA">
              <w:rPr>
                <w:rFonts w:ascii="Arial" w:eastAsia="Times New Roman" w:hAnsi="Arial" w:cs="Arial"/>
                <w:b w:val="0"/>
                <w:sz w:val="20"/>
                <w:szCs w:val="20"/>
                <w:lang w:val="el-GR" w:eastAsia="en-SG"/>
              </w:rPr>
              <w:t>).</w:t>
            </w:r>
            <w:r w:rsidR="003B10DA" w:rsidRPr="003B10DA">
              <w:rPr>
                <w:rFonts w:ascii="Arial" w:hAnsi="Arial" w:cs="Arial"/>
                <w:b w:val="0"/>
                <w:sz w:val="20"/>
                <w:szCs w:val="20"/>
                <w:lang w:val="el-GR"/>
              </w:rPr>
              <w:t xml:space="preserve"> Από τις 109 πόλεις που αναλύθηκαν, οι επτά μεγαλύτερες πόλεις της Ασίας-Ειρηνικού - Τόκιο, Σιγκαπούρη, Πεκίνο, Σεούλ, Σαγκάη, </w:t>
            </w:r>
            <w:proofErr w:type="spellStart"/>
            <w:r w:rsidR="003B10DA" w:rsidRPr="003B10DA">
              <w:rPr>
                <w:rFonts w:ascii="Arial" w:hAnsi="Arial" w:cs="Arial"/>
                <w:b w:val="0"/>
                <w:sz w:val="20"/>
                <w:szCs w:val="20"/>
                <w:lang w:val="el-GR"/>
              </w:rPr>
              <w:t>Σενζέν</w:t>
            </w:r>
            <w:proofErr w:type="spellEnd"/>
            <w:r w:rsidR="003B10DA" w:rsidRPr="003B10DA">
              <w:rPr>
                <w:rFonts w:ascii="Arial" w:hAnsi="Arial" w:cs="Arial"/>
                <w:b w:val="0"/>
                <w:sz w:val="20"/>
                <w:szCs w:val="20"/>
                <w:lang w:val="el-GR"/>
              </w:rPr>
              <w:t xml:space="preserve"> και Σύδνεϋ - αντιπροσώπευαν περισσότερο από το 50% τ</w:t>
            </w:r>
            <w:r w:rsidR="008D6AE3">
              <w:rPr>
                <w:rFonts w:ascii="Arial" w:hAnsi="Arial" w:cs="Arial"/>
                <w:b w:val="0"/>
                <w:sz w:val="20"/>
                <w:szCs w:val="20"/>
                <w:lang w:val="el-GR"/>
              </w:rPr>
              <w:t xml:space="preserve">ου </w:t>
            </w:r>
            <w:r w:rsidR="003B10DA" w:rsidRPr="003B10DA">
              <w:rPr>
                <w:rFonts w:ascii="Arial" w:hAnsi="Arial" w:cs="Arial"/>
                <w:b w:val="0"/>
                <w:sz w:val="20"/>
                <w:szCs w:val="20"/>
                <w:lang w:val="el-GR"/>
              </w:rPr>
              <w:t>συνολικ</w:t>
            </w:r>
            <w:r w:rsidR="008D6AE3">
              <w:rPr>
                <w:rFonts w:ascii="Arial" w:hAnsi="Arial" w:cs="Arial"/>
                <w:b w:val="0"/>
                <w:sz w:val="20"/>
                <w:szCs w:val="20"/>
                <w:lang w:val="el-GR"/>
              </w:rPr>
              <w:t xml:space="preserve">ού όγκου </w:t>
            </w:r>
            <w:r w:rsidR="003B10DA" w:rsidRPr="003B10DA">
              <w:rPr>
                <w:rFonts w:ascii="Arial" w:hAnsi="Arial" w:cs="Arial"/>
                <w:b w:val="0"/>
                <w:sz w:val="20"/>
                <w:szCs w:val="20"/>
                <w:lang w:val="el-GR"/>
              </w:rPr>
              <w:t>ετήσιων επενδύσεων σε ακίνητα την τελευταία δεκαετία στην περιοχή. Σύμφωνα με τους αναλυτές η</w:t>
            </w:r>
            <w:r w:rsidR="003B10DA" w:rsidRPr="003B10DA">
              <w:rPr>
                <w:rFonts w:ascii="Arial" w:eastAsia="Times New Roman" w:hAnsi="Arial" w:cs="Arial"/>
                <w:b w:val="0"/>
                <w:sz w:val="20"/>
                <w:szCs w:val="20"/>
                <w:lang w:val="el-GR" w:eastAsia="en-SG"/>
              </w:rPr>
              <w:t xml:space="preserve"> στόχευση καινοτόμων πόλεων έχει γίνει πλέον ένα σαφές κομμάτι των επενδυτικών στρατηγικών, εν μέρει επειδή οι πόλεις με επίκεντρο την καινοτομία φαίνεται να είναι πιο ανθεκτικές στις οικονομικές κρίσεις. Πόλεις με επίκεντρο τη τεχνολογία, όπως η Σεούλ, το Βερολίνο και το Σικάγο, είδαν τις μέσες τιμές των ακινήτων να μειώνονται με μικρότερο ρυθμό και να ανέρχονται</w:t>
            </w:r>
            <w:r w:rsidR="008D6AE3">
              <w:rPr>
                <w:rFonts w:ascii="Arial" w:eastAsia="Times New Roman" w:hAnsi="Arial" w:cs="Arial"/>
                <w:b w:val="0"/>
                <w:sz w:val="20"/>
                <w:szCs w:val="20"/>
                <w:lang w:val="el-GR" w:eastAsia="en-SG"/>
              </w:rPr>
              <w:t xml:space="preserve"> στη συνέχεια </w:t>
            </w:r>
            <w:r w:rsidR="003B10DA" w:rsidRPr="003B10DA">
              <w:rPr>
                <w:rFonts w:ascii="Arial" w:eastAsia="Times New Roman" w:hAnsi="Arial" w:cs="Arial"/>
                <w:b w:val="0"/>
                <w:sz w:val="20"/>
                <w:szCs w:val="20"/>
                <w:lang w:val="el-GR" w:eastAsia="en-SG"/>
              </w:rPr>
              <w:t xml:space="preserve">πιο γρήγορα.  Στη Σιγκαπούρη πάνω από 10 δις </w:t>
            </w:r>
            <w:r w:rsidR="003B10DA" w:rsidRPr="003B10DA">
              <w:rPr>
                <w:rFonts w:ascii="Arial" w:eastAsia="Times New Roman" w:hAnsi="Arial" w:cs="Arial"/>
                <w:b w:val="0"/>
                <w:sz w:val="20"/>
                <w:szCs w:val="20"/>
                <w:lang w:eastAsia="en-SG"/>
              </w:rPr>
              <w:t>USD</w:t>
            </w:r>
            <w:r w:rsidR="003B10DA" w:rsidRPr="003B10DA">
              <w:rPr>
                <w:rFonts w:ascii="Arial" w:eastAsia="Times New Roman" w:hAnsi="Arial" w:cs="Arial"/>
                <w:b w:val="0"/>
                <w:sz w:val="20"/>
                <w:szCs w:val="20"/>
                <w:lang w:val="el-GR" w:eastAsia="en-SG"/>
              </w:rPr>
              <w:t xml:space="preserve"> έχουν επενδυθεί τα τελευταία τρία χρόνια σε τομείς που περιλαμβάνουν από το σχεδιασμό λογισμικού έως την κατασκευή ημιαγωγών Η/Υ. Οι παγκόσμιες εταιρείες τεχνολογίας όπως το </w:t>
            </w:r>
            <w:r w:rsidR="003B10DA" w:rsidRPr="003B10DA">
              <w:rPr>
                <w:rFonts w:ascii="Arial" w:eastAsia="Times New Roman" w:hAnsi="Arial" w:cs="Arial"/>
                <w:b w:val="0"/>
                <w:sz w:val="20"/>
                <w:szCs w:val="20"/>
                <w:lang w:eastAsia="en-SG"/>
              </w:rPr>
              <w:t>Google</w:t>
            </w:r>
            <w:r w:rsidR="003B10DA" w:rsidRPr="003B10DA">
              <w:rPr>
                <w:rFonts w:ascii="Arial" w:eastAsia="Times New Roman" w:hAnsi="Arial" w:cs="Arial"/>
                <w:b w:val="0"/>
                <w:sz w:val="20"/>
                <w:szCs w:val="20"/>
                <w:lang w:val="el-GR" w:eastAsia="en-SG"/>
              </w:rPr>
              <w:t xml:space="preserve"> και το </w:t>
            </w:r>
            <w:r w:rsidR="003B10DA" w:rsidRPr="003B10DA">
              <w:rPr>
                <w:rFonts w:ascii="Arial" w:eastAsia="Times New Roman" w:hAnsi="Arial" w:cs="Arial"/>
                <w:b w:val="0"/>
                <w:sz w:val="20"/>
                <w:szCs w:val="20"/>
                <w:lang w:eastAsia="en-SG"/>
              </w:rPr>
              <w:t>Facebook</w:t>
            </w:r>
            <w:r w:rsidR="003B10DA" w:rsidRPr="003B10DA">
              <w:rPr>
                <w:rFonts w:ascii="Arial" w:eastAsia="Times New Roman" w:hAnsi="Arial" w:cs="Arial"/>
                <w:b w:val="0"/>
                <w:sz w:val="20"/>
                <w:szCs w:val="20"/>
                <w:lang w:val="el-GR" w:eastAsia="en-SG"/>
              </w:rPr>
              <w:t xml:space="preserve"> έχουν δημιουργήσει περιφερειακά κέντρα στην πόλη, με κεφάλαια επιχειρηματικού κινδύνου άνω των 10 δις </w:t>
            </w:r>
            <w:r w:rsidR="003B10DA" w:rsidRPr="003B10DA">
              <w:rPr>
                <w:rFonts w:ascii="Arial" w:eastAsia="Times New Roman" w:hAnsi="Arial" w:cs="Arial"/>
                <w:b w:val="0"/>
                <w:sz w:val="20"/>
                <w:szCs w:val="20"/>
                <w:lang w:eastAsia="en-SG"/>
              </w:rPr>
              <w:t>USD</w:t>
            </w:r>
            <w:r w:rsidR="003B10DA" w:rsidRPr="003B10DA">
              <w:rPr>
                <w:rFonts w:ascii="Arial" w:eastAsia="Times New Roman" w:hAnsi="Arial" w:cs="Arial"/>
                <w:b w:val="0"/>
                <w:sz w:val="20"/>
                <w:szCs w:val="20"/>
                <w:lang w:val="el-GR" w:eastAsia="en-SG"/>
              </w:rPr>
              <w:t xml:space="preserve"> που επενδύθηκαν σε τοπικές επιχειρήσεις κατά την ίδια περίοδο. Η Σιγκαπούρη σημείωσε καλά αποτελέσματα σε κατηγορίες όπως το υψηλό  επίπεδο του εργατικού δυναμικού, η παρουσία τριών πανεπιστημίων παγκόσμιας κλάσης και το ποσοστό του εργατικού</w:t>
            </w:r>
            <w:r w:rsidR="008D6AE3">
              <w:rPr>
                <w:rFonts w:ascii="Arial" w:eastAsia="Times New Roman" w:hAnsi="Arial" w:cs="Arial"/>
                <w:b w:val="0"/>
                <w:sz w:val="20"/>
                <w:szCs w:val="20"/>
                <w:lang w:val="el-GR" w:eastAsia="en-SG"/>
              </w:rPr>
              <w:t xml:space="preserve"> δυναμικού που απασχολείται στη βιομηχανία</w:t>
            </w:r>
            <w:r w:rsidR="003B10DA" w:rsidRPr="003B10DA">
              <w:rPr>
                <w:rFonts w:ascii="Arial" w:eastAsia="Times New Roman" w:hAnsi="Arial" w:cs="Arial"/>
                <w:b w:val="0"/>
                <w:sz w:val="20"/>
                <w:szCs w:val="20"/>
                <w:lang w:val="el-GR" w:eastAsia="en-SG"/>
              </w:rPr>
              <w:t xml:space="preserve"> υψηλής τεχνολογίας πάνω από το μέσο όρο. Οι διεθνείς τάσεις είναι η σύνδεση καινοτομίας-ιδιοκτησίας, καθώς τα οικοσυστήματα καινοτομίας στις πόλεις είναι καθοριστικά για την αύξηση της παραγωγικότητας και με τη σειρά τους οδηγούν στην οικονομική ανάπτυξη και, συνεπώς, στη ζήτηση για ακίνητα, ιδίως όταν συνδυάζονται με υψηλή συγκέντρωση ανθρώπινου κεφαλαίου. Αυτή η σχέση</w:t>
            </w:r>
            <w:r w:rsidR="008D6AE3">
              <w:rPr>
                <w:rFonts w:ascii="Arial" w:eastAsia="Times New Roman" w:hAnsi="Arial" w:cs="Arial"/>
                <w:b w:val="0"/>
                <w:sz w:val="20"/>
                <w:szCs w:val="20"/>
                <w:lang w:val="el-GR" w:eastAsia="en-SG"/>
              </w:rPr>
              <w:t>/σύνδεση</w:t>
            </w:r>
            <w:r w:rsidR="003B10DA" w:rsidRPr="003B10DA">
              <w:rPr>
                <w:rFonts w:ascii="Arial" w:eastAsia="Times New Roman" w:hAnsi="Arial" w:cs="Arial"/>
                <w:b w:val="0"/>
                <w:sz w:val="20"/>
                <w:szCs w:val="20"/>
                <w:lang w:val="el-GR" w:eastAsia="en-SG"/>
              </w:rPr>
              <w:t xml:space="preserve"> έχει εγκριθεί από ένα ευρύ φάσμα οικονομικών οργανισμών, όπως η Ευρωπαϊκή Κεντρική Τράπεζα και η Παγκόσμια Τράπεζα.</w:t>
            </w:r>
            <w:r w:rsidR="003B10DA">
              <w:rPr>
                <w:rFonts w:ascii="Times New Roman" w:eastAsia="Times New Roman" w:hAnsi="Times New Roman" w:cs="Times New Roman"/>
                <w:sz w:val="24"/>
                <w:szCs w:val="24"/>
                <w:lang w:val="el-GR" w:eastAsia="en-SG"/>
              </w:rPr>
              <w:t xml:space="preserve"> </w:t>
            </w:r>
            <w:r w:rsidR="003E3C3D" w:rsidRPr="003B10DA">
              <w:rPr>
                <w:rFonts w:ascii="Arial" w:hAnsi="Arial" w:cs="Arial"/>
                <w:sz w:val="16"/>
                <w:szCs w:val="16"/>
                <w:lang w:val="el-GR"/>
              </w:rPr>
              <w:t xml:space="preserve"> </w:t>
            </w:r>
            <w:r w:rsidR="003E3C3D" w:rsidRPr="003E3C3D">
              <w:rPr>
                <w:rFonts w:ascii="Arial" w:hAnsi="Arial" w:cs="Arial"/>
                <w:sz w:val="16"/>
                <w:szCs w:val="16"/>
                <w:lang w:val="el-GR"/>
              </w:rPr>
              <w:t>ΠΗΓΗ</w:t>
            </w:r>
            <w:r w:rsidR="003E3C3D" w:rsidRPr="008F4E4F">
              <w:rPr>
                <w:rFonts w:ascii="Arial" w:hAnsi="Arial" w:cs="Arial"/>
                <w:sz w:val="16"/>
                <w:szCs w:val="16"/>
                <w:lang w:val="el-GR"/>
              </w:rPr>
              <w:t xml:space="preserve">: </w:t>
            </w:r>
            <w:r w:rsidR="003E3C3D" w:rsidRPr="003E3C3D">
              <w:rPr>
                <w:rFonts w:ascii="Arial" w:hAnsi="Arial" w:cs="Arial"/>
                <w:sz w:val="16"/>
                <w:szCs w:val="16"/>
                <w:lang w:val="en-US"/>
              </w:rPr>
              <w:t>STRAITSTIMES</w:t>
            </w:r>
            <w:r w:rsidR="003E3C3D" w:rsidRPr="008F4E4F">
              <w:rPr>
                <w:rFonts w:ascii="Arial" w:hAnsi="Arial" w:cs="Arial"/>
                <w:sz w:val="16"/>
                <w:szCs w:val="16"/>
                <w:lang w:val="el-GR"/>
              </w:rPr>
              <w:t xml:space="preserve"> </w:t>
            </w:r>
            <w:r w:rsidR="003B10DA" w:rsidRPr="008F4E4F">
              <w:rPr>
                <w:rFonts w:ascii="Arial" w:hAnsi="Arial" w:cs="Arial"/>
                <w:sz w:val="16"/>
                <w:szCs w:val="16"/>
                <w:lang w:val="el-GR"/>
              </w:rPr>
              <w:t>17/5</w:t>
            </w:r>
            <w:r w:rsidR="003E3C3D" w:rsidRPr="008F4E4F">
              <w:rPr>
                <w:rFonts w:ascii="Arial" w:hAnsi="Arial" w:cs="Arial"/>
                <w:sz w:val="16"/>
                <w:szCs w:val="16"/>
                <w:lang w:val="el-GR"/>
              </w:rPr>
              <w:t>/2019</w:t>
            </w:r>
            <w:r w:rsidR="005E3DF4" w:rsidRPr="008F4E4F">
              <w:rPr>
                <w:rFonts w:ascii="Times New Roman" w:eastAsia="Times New Roman" w:hAnsi="Times New Roman" w:cs="Times New Roman"/>
                <w:sz w:val="24"/>
                <w:szCs w:val="24"/>
                <w:lang w:val="el-GR" w:eastAsia="en-SG"/>
              </w:rPr>
              <w:t xml:space="preserve"> </w:t>
            </w:r>
          </w:p>
          <w:p w:rsidR="00B20E7B" w:rsidRDefault="00703172" w:rsidP="0064370A">
            <w:pPr>
              <w:jc w:val="both"/>
              <w:rPr>
                <w:rFonts w:ascii="Arial" w:hAnsi="Arial" w:cs="Arial"/>
                <w:sz w:val="16"/>
                <w:szCs w:val="16"/>
                <w:lang w:val="el-GR"/>
              </w:rPr>
            </w:pPr>
            <w:r>
              <w:rPr>
                <w:rFonts w:ascii="Arial" w:hAnsi="Arial" w:cs="Arial"/>
                <w:sz w:val="28"/>
                <w:szCs w:val="28"/>
                <w:lang w:val="el-GR"/>
              </w:rPr>
              <w:t>2</w:t>
            </w:r>
            <w:r w:rsidR="00F405E7" w:rsidRPr="0064370A">
              <w:rPr>
                <w:rFonts w:ascii="Arial" w:hAnsi="Arial" w:cs="Arial"/>
                <w:lang w:val="el-GR"/>
              </w:rPr>
              <w:t>.</w:t>
            </w:r>
            <w:r w:rsidR="0064370A" w:rsidRPr="0064370A">
              <w:rPr>
                <w:rFonts w:ascii="Arial" w:hAnsi="Arial" w:cs="Arial"/>
                <w:lang w:val="el-GR"/>
              </w:rPr>
              <w:t xml:space="preserve"> </w:t>
            </w:r>
            <w:r w:rsidR="0064370A">
              <w:rPr>
                <w:rFonts w:ascii="Arial" w:hAnsi="Arial" w:cs="Arial"/>
                <w:lang w:val="el-GR"/>
              </w:rPr>
              <w:t>ΗΛΕΚΤΡΟΝΙΚΟ ΠΟΡΤΟΦΟΛΙ</w:t>
            </w:r>
            <w:r w:rsidR="0064370A" w:rsidRPr="0064370A">
              <w:rPr>
                <w:rFonts w:ascii="Arial" w:hAnsi="Arial" w:cs="Arial"/>
                <w:lang w:val="el-GR"/>
              </w:rPr>
              <w:t xml:space="preserve">: </w:t>
            </w:r>
            <w:r w:rsidR="008D6AE3" w:rsidRPr="008D6AE3">
              <w:rPr>
                <w:rFonts w:ascii="Arial" w:hAnsi="Arial" w:cs="Arial"/>
                <w:lang w:val="en-US"/>
              </w:rPr>
              <w:t>YOURTRIP</w:t>
            </w:r>
            <w:r w:rsidR="0064370A" w:rsidRPr="0064370A">
              <w:rPr>
                <w:rFonts w:ascii="Arial" w:eastAsia="Times New Roman" w:hAnsi="Arial" w:cs="Arial"/>
                <w:b w:val="0"/>
                <w:sz w:val="20"/>
                <w:szCs w:val="20"/>
                <w:lang w:val="el-GR" w:eastAsia="en-SG"/>
              </w:rPr>
              <w:t xml:space="preserve"> Η εταιρεία </w:t>
            </w:r>
            <w:proofErr w:type="spellStart"/>
            <w:r w:rsidR="0064370A" w:rsidRPr="0064370A">
              <w:rPr>
                <w:rFonts w:ascii="Arial" w:eastAsia="Times New Roman" w:hAnsi="Arial" w:cs="Arial"/>
                <w:b w:val="0"/>
                <w:sz w:val="20"/>
                <w:szCs w:val="20"/>
                <w:lang w:eastAsia="en-SG"/>
              </w:rPr>
              <w:t>YouTrip</w:t>
            </w:r>
            <w:proofErr w:type="spellEnd"/>
            <w:r w:rsidR="0064370A" w:rsidRPr="0064370A">
              <w:rPr>
                <w:rFonts w:ascii="Arial" w:eastAsia="Times New Roman" w:hAnsi="Arial" w:cs="Arial"/>
                <w:b w:val="0"/>
                <w:sz w:val="20"/>
                <w:szCs w:val="20"/>
                <w:lang w:val="el-GR" w:eastAsia="en-SG"/>
              </w:rPr>
              <w:t xml:space="preserve">,  με έδρα τη Σιγκαπούρη, αύξησε τα κέρδη της στα 25,5 εκ. </w:t>
            </w:r>
            <w:r w:rsidR="0064370A" w:rsidRPr="0064370A">
              <w:rPr>
                <w:rFonts w:ascii="Arial" w:eastAsia="Times New Roman" w:hAnsi="Arial" w:cs="Arial"/>
                <w:b w:val="0"/>
                <w:sz w:val="20"/>
                <w:szCs w:val="20"/>
                <w:lang w:val="en-US" w:eastAsia="en-SG"/>
              </w:rPr>
              <w:t>USD</w:t>
            </w:r>
            <w:r w:rsidR="0064370A" w:rsidRPr="0064370A">
              <w:rPr>
                <w:rFonts w:ascii="Arial" w:eastAsia="Times New Roman" w:hAnsi="Arial" w:cs="Arial"/>
                <w:b w:val="0"/>
                <w:sz w:val="20"/>
                <w:szCs w:val="20"/>
                <w:lang w:val="el-GR" w:eastAsia="en-SG"/>
              </w:rPr>
              <w:t xml:space="preserve"> </w:t>
            </w:r>
            <w:proofErr w:type="gramStart"/>
            <w:r w:rsidR="0064370A" w:rsidRPr="0064370A">
              <w:rPr>
                <w:rFonts w:ascii="Arial" w:eastAsia="Times New Roman" w:hAnsi="Arial" w:cs="Arial"/>
                <w:b w:val="0"/>
                <w:sz w:val="20"/>
                <w:szCs w:val="20"/>
                <w:lang w:val="el-GR" w:eastAsia="en-SG"/>
              </w:rPr>
              <w:t>το  2018</w:t>
            </w:r>
            <w:proofErr w:type="gramEnd"/>
            <w:r w:rsidR="0064370A" w:rsidRPr="0064370A">
              <w:rPr>
                <w:rFonts w:ascii="Arial" w:eastAsia="Times New Roman" w:hAnsi="Arial" w:cs="Arial"/>
                <w:b w:val="0"/>
                <w:sz w:val="20"/>
                <w:szCs w:val="20"/>
                <w:lang w:val="el-GR" w:eastAsia="en-SG"/>
              </w:rPr>
              <w:t xml:space="preserve"> αποτελώντας την πιο πρόσφατα ιδρυθείσα εταιρεία στη χρηματοπιστωτική τεχνολογία (</w:t>
            </w:r>
            <w:proofErr w:type="spellStart"/>
            <w:r w:rsidR="0064370A" w:rsidRPr="0064370A">
              <w:rPr>
                <w:rFonts w:ascii="Arial" w:eastAsia="Times New Roman" w:hAnsi="Arial" w:cs="Arial"/>
                <w:b w:val="0"/>
                <w:sz w:val="20"/>
                <w:szCs w:val="20"/>
                <w:lang w:eastAsia="en-SG"/>
              </w:rPr>
              <w:t>fintech</w:t>
            </w:r>
            <w:proofErr w:type="spellEnd"/>
            <w:r w:rsidR="0064370A" w:rsidRPr="0064370A">
              <w:rPr>
                <w:rFonts w:ascii="Arial" w:eastAsia="Times New Roman" w:hAnsi="Arial" w:cs="Arial"/>
                <w:b w:val="0"/>
                <w:sz w:val="20"/>
                <w:szCs w:val="20"/>
                <w:lang w:val="el-GR" w:eastAsia="en-SG"/>
              </w:rPr>
              <w:t>), η οποία επωφελείται από το συνεχώς αυξανόμενο ενδιαφέρον των επενδυτών το τελευταίο</w:t>
            </w:r>
            <w:r w:rsidR="009E4DC9">
              <w:rPr>
                <w:rFonts w:ascii="Arial" w:eastAsia="Times New Roman" w:hAnsi="Arial" w:cs="Arial"/>
                <w:b w:val="0"/>
                <w:sz w:val="20"/>
                <w:szCs w:val="20"/>
                <w:lang w:val="el-GR" w:eastAsia="en-SG"/>
              </w:rPr>
              <w:t xml:space="preserve"> διάστημα</w:t>
            </w:r>
            <w:r w:rsidR="0064370A" w:rsidRPr="0064370A">
              <w:rPr>
                <w:rFonts w:ascii="Arial" w:eastAsia="Times New Roman" w:hAnsi="Arial" w:cs="Arial"/>
                <w:b w:val="0"/>
                <w:sz w:val="20"/>
                <w:szCs w:val="20"/>
                <w:lang w:val="el-GR" w:eastAsia="en-SG"/>
              </w:rPr>
              <w:t xml:space="preserve"> στην </w:t>
            </w:r>
            <w:proofErr w:type="spellStart"/>
            <w:r w:rsidR="0064370A" w:rsidRPr="0064370A">
              <w:rPr>
                <w:rFonts w:ascii="Arial" w:eastAsia="Times New Roman" w:hAnsi="Arial" w:cs="Arial"/>
                <w:b w:val="0"/>
                <w:sz w:val="20"/>
                <w:szCs w:val="20"/>
                <w:lang w:eastAsia="en-SG"/>
              </w:rPr>
              <w:t>fintech</w:t>
            </w:r>
            <w:proofErr w:type="spellEnd"/>
            <w:r w:rsidR="0064370A" w:rsidRPr="0064370A">
              <w:rPr>
                <w:rFonts w:ascii="Arial" w:eastAsia="Times New Roman" w:hAnsi="Arial" w:cs="Arial"/>
                <w:b w:val="0"/>
                <w:sz w:val="20"/>
                <w:szCs w:val="20"/>
                <w:lang w:val="el-GR" w:eastAsia="en-SG"/>
              </w:rPr>
              <w:t xml:space="preserve">. Η επένδυση στην εταιρεία </w:t>
            </w:r>
            <w:proofErr w:type="spellStart"/>
            <w:r w:rsidR="0064370A" w:rsidRPr="0064370A">
              <w:rPr>
                <w:rFonts w:ascii="Arial" w:eastAsia="Times New Roman" w:hAnsi="Arial" w:cs="Arial"/>
                <w:b w:val="0"/>
                <w:sz w:val="20"/>
                <w:szCs w:val="20"/>
                <w:lang w:eastAsia="en-SG"/>
              </w:rPr>
              <w:t>YouTrip</w:t>
            </w:r>
            <w:proofErr w:type="spellEnd"/>
            <w:r w:rsidR="0064370A" w:rsidRPr="0064370A">
              <w:rPr>
                <w:rFonts w:ascii="Arial" w:eastAsia="Times New Roman" w:hAnsi="Arial" w:cs="Arial"/>
                <w:b w:val="0"/>
                <w:sz w:val="20"/>
                <w:szCs w:val="20"/>
                <w:lang w:val="el-GR" w:eastAsia="en-SG"/>
              </w:rPr>
              <w:t xml:space="preserve"> προήλθε από κοινοπραξία της </w:t>
            </w:r>
            <w:r w:rsidR="0064370A" w:rsidRPr="0064370A">
              <w:rPr>
                <w:rFonts w:ascii="Arial" w:eastAsia="Times New Roman" w:hAnsi="Arial" w:cs="Arial"/>
                <w:b w:val="0"/>
                <w:sz w:val="20"/>
                <w:szCs w:val="20"/>
                <w:lang w:eastAsia="en-SG"/>
              </w:rPr>
              <w:t>Insignia</w:t>
            </w:r>
            <w:r w:rsidR="0064370A" w:rsidRPr="0064370A">
              <w:rPr>
                <w:rFonts w:ascii="Arial" w:eastAsia="Times New Roman" w:hAnsi="Arial" w:cs="Arial"/>
                <w:b w:val="0"/>
                <w:sz w:val="20"/>
                <w:szCs w:val="20"/>
                <w:lang w:val="el-GR" w:eastAsia="en-SG"/>
              </w:rPr>
              <w:t xml:space="preserve"> </w:t>
            </w:r>
            <w:r w:rsidR="0064370A" w:rsidRPr="0064370A">
              <w:rPr>
                <w:rFonts w:ascii="Arial" w:eastAsia="Times New Roman" w:hAnsi="Arial" w:cs="Arial"/>
                <w:b w:val="0"/>
                <w:sz w:val="20"/>
                <w:szCs w:val="20"/>
                <w:lang w:eastAsia="en-SG"/>
              </w:rPr>
              <w:t>Ventures</w:t>
            </w:r>
            <w:r w:rsidR="0064370A" w:rsidRPr="0064370A">
              <w:rPr>
                <w:rFonts w:ascii="Arial" w:eastAsia="Times New Roman" w:hAnsi="Arial" w:cs="Arial"/>
                <w:b w:val="0"/>
                <w:sz w:val="20"/>
                <w:szCs w:val="20"/>
                <w:lang w:val="el-GR" w:eastAsia="en-SG"/>
              </w:rPr>
              <w:t xml:space="preserve"> </w:t>
            </w:r>
            <w:r w:rsidR="0064370A" w:rsidRPr="0064370A">
              <w:rPr>
                <w:rFonts w:ascii="Arial" w:eastAsia="Times New Roman" w:hAnsi="Arial" w:cs="Arial"/>
                <w:b w:val="0"/>
                <w:sz w:val="20"/>
                <w:szCs w:val="20"/>
                <w:lang w:eastAsia="en-SG"/>
              </w:rPr>
              <w:t>Partners</w:t>
            </w:r>
            <w:r w:rsidR="0064370A" w:rsidRPr="0064370A">
              <w:rPr>
                <w:rFonts w:ascii="Arial" w:eastAsia="Times New Roman" w:hAnsi="Arial" w:cs="Arial"/>
                <w:b w:val="0"/>
                <w:sz w:val="20"/>
                <w:szCs w:val="20"/>
                <w:lang w:val="el-GR" w:eastAsia="en-SG"/>
              </w:rPr>
              <w:t xml:space="preserve"> και άλλων ιδιωτικών εταιρειών  επενδύσεων και αναμένεται να διευρύνει την επέκταση της </w:t>
            </w:r>
            <w:proofErr w:type="spellStart"/>
            <w:r w:rsidR="0064370A" w:rsidRPr="0064370A">
              <w:rPr>
                <w:rFonts w:ascii="Arial" w:eastAsia="Times New Roman" w:hAnsi="Arial" w:cs="Arial"/>
                <w:b w:val="0"/>
                <w:sz w:val="20"/>
                <w:szCs w:val="20"/>
                <w:lang w:eastAsia="en-SG"/>
              </w:rPr>
              <w:t>YouTrip</w:t>
            </w:r>
            <w:proofErr w:type="spellEnd"/>
            <w:r w:rsidR="0064370A" w:rsidRPr="0064370A">
              <w:rPr>
                <w:rFonts w:ascii="Arial" w:eastAsia="Times New Roman" w:hAnsi="Arial" w:cs="Arial"/>
                <w:b w:val="0"/>
                <w:sz w:val="20"/>
                <w:szCs w:val="20"/>
                <w:lang w:val="el-GR" w:eastAsia="en-SG"/>
              </w:rPr>
              <w:t xml:space="preserve"> σε δύο αγορές ακόμη της </w:t>
            </w:r>
            <w:proofErr w:type="spellStart"/>
            <w:r w:rsidR="0064370A" w:rsidRPr="0064370A">
              <w:rPr>
                <w:rFonts w:ascii="Arial" w:eastAsia="Times New Roman" w:hAnsi="Arial" w:cs="Arial"/>
                <w:b w:val="0"/>
                <w:sz w:val="20"/>
                <w:szCs w:val="20"/>
                <w:lang w:val="el-GR" w:eastAsia="en-SG"/>
              </w:rPr>
              <w:t>ΝΑσίας</w:t>
            </w:r>
            <w:proofErr w:type="spellEnd"/>
            <w:r w:rsidR="0064370A" w:rsidRPr="0064370A">
              <w:rPr>
                <w:rFonts w:ascii="Arial" w:eastAsia="Times New Roman" w:hAnsi="Arial" w:cs="Arial"/>
                <w:b w:val="0"/>
                <w:sz w:val="20"/>
                <w:szCs w:val="20"/>
                <w:lang w:val="el-GR" w:eastAsia="en-SG"/>
              </w:rPr>
              <w:t xml:space="preserve"> τους επόμενους μήνες. Στη κάρτα </w:t>
            </w:r>
            <w:proofErr w:type="spellStart"/>
            <w:r w:rsidR="0064370A" w:rsidRPr="0064370A">
              <w:rPr>
                <w:rFonts w:ascii="Arial" w:eastAsia="Times New Roman" w:hAnsi="Arial" w:cs="Arial"/>
                <w:b w:val="0"/>
                <w:sz w:val="20"/>
                <w:szCs w:val="20"/>
                <w:lang w:eastAsia="en-SG"/>
              </w:rPr>
              <w:t>YouTrip</w:t>
            </w:r>
            <w:proofErr w:type="spellEnd"/>
            <w:r w:rsidR="0064370A" w:rsidRPr="0064370A">
              <w:rPr>
                <w:rFonts w:ascii="Arial" w:eastAsia="Times New Roman" w:hAnsi="Arial" w:cs="Arial"/>
                <w:b w:val="0"/>
                <w:sz w:val="20"/>
                <w:szCs w:val="20"/>
                <w:lang w:val="el-GR" w:eastAsia="en-SG"/>
              </w:rPr>
              <w:t xml:space="preserve"> (ηλεκτρονικό </w:t>
            </w:r>
            <w:r w:rsidR="009E4DC9" w:rsidRPr="0064370A">
              <w:rPr>
                <w:rFonts w:ascii="Arial" w:eastAsia="Times New Roman" w:hAnsi="Arial" w:cs="Arial"/>
                <w:b w:val="0"/>
                <w:sz w:val="20"/>
                <w:szCs w:val="20"/>
                <w:lang w:val="el-GR" w:eastAsia="en-SG"/>
              </w:rPr>
              <w:t>πορτοφόλι</w:t>
            </w:r>
            <w:r w:rsidR="0064370A" w:rsidRPr="0064370A">
              <w:rPr>
                <w:rFonts w:ascii="Arial" w:eastAsia="Times New Roman" w:hAnsi="Arial" w:cs="Arial"/>
                <w:b w:val="0"/>
                <w:sz w:val="20"/>
                <w:szCs w:val="20"/>
                <w:lang w:val="el-GR" w:eastAsia="en-SG"/>
              </w:rPr>
              <w:t xml:space="preserve">), η οποία χρησιμοποιείται στις μεταφορές/ταξίδια, αποθηκεύονται έως και 3.000 </w:t>
            </w:r>
            <w:r w:rsidR="0064370A" w:rsidRPr="0064370A">
              <w:rPr>
                <w:rFonts w:ascii="Arial" w:eastAsia="Times New Roman" w:hAnsi="Arial" w:cs="Arial"/>
                <w:b w:val="0"/>
                <w:sz w:val="20"/>
                <w:szCs w:val="20"/>
                <w:lang w:val="en-US" w:eastAsia="en-SG"/>
              </w:rPr>
              <w:t>SGD</w:t>
            </w:r>
            <w:r w:rsidR="0064370A" w:rsidRPr="0064370A">
              <w:rPr>
                <w:rFonts w:ascii="Arial" w:eastAsia="Times New Roman" w:hAnsi="Arial" w:cs="Arial"/>
                <w:b w:val="0"/>
                <w:sz w:val="20"/>
                <w:szCs w:val="20"/>
                <w:lang w:val="el-GR" w:eastAsia="en-SG"/>
              </w:rPr>
              <w:t xml:space="preserve">, με δυνατότητα μετατροπής σε 150 νομίσματα με συναλλαγματικές ισοτιμίες συγκρίσιμες με εκείνες που είναι καταχωρισμένες σε </w:t>
            </w:r>
            <w:proofErr w:type="spellStart"/>
            <w:r w:rsidR="0064370A" w:rsidRPr="0064370A">
              <w:rPr>
                <w:rFonts w:ascii="Arial" w:eastAsia="Times New Roman" w:hAnsi="Arial" w:cs="Arial"/>
                <w:b w:val="0"/>
                <w:sz w:val="20"/>
                <w:szCs w:val="20"/>
                <w:lang w:val="el-GR" w:eastAsia="en-SG"/>
              </w:rPr>
              <w:t>ιστότοπους</w:t>
            </w:r>
            <w:proofErr w:type="spellEnd"/>
            <w:r w:rsidR="0064370A" w:rsidRPr="0064370A">
              <w:rPr>
                <w:rFonts w:ascii="Arial" w:eastAsia="Times New Roman" w:hAnsi="Arial" w:cs="Arial"/>
                <w:b w:val="0"/>
                <w:sz w:val="20"/>
                <w:szCs w:val="20"/>
                <w:lang w:val="el-GR" w:eastAsia="en-SG"/>
              </w:rPr>
              <w:t xml:space="preserve">. Πρόκειται για συνεργασία της </w:t>
            </w:r>
            <w:proofErr w:type="spellStart"/>
            <w:r w:rsidR="0064370A" w:rsidRPr="0064370A">
              <w:rPr>
                <w:rFonts w:ascii="Arial" w:eastAsia="Times New Roman" w:hAnsi="Arial" w:cs="Arial"/>
                <w:b w:val="0"/>
                <w:sz w:val="20"/>
                <w:szCs w:val="20"/>
                <w:lang w:val="en-US" w:eastAsia="en-SG"/>
              </w:rPr>
              <w:t>Mastercard</w:t>
            </w:r>
            <w:proofErr w:type="spellEnd"/>
            <w:r w:rsidR="0064370A" w:rsidRPr="0064370A">
              <w:rPr>
                <w:rFonts w:ascii="Arial" w:eastAsia="Times New Roman" w:hAnsi="Arial" w:cs="Arial"/>
                <w:b w:val="0"/>
                <w:sz w:val="20"/>
                <w:szCs w:val="20"/>
                <w:lang w:val="el-GR" w:eastAsia="en-SG"/>
              </w:rPr>
              <w:t xml:space="preserve">  και  </w:t>
            </w:r>
            <w:r w:rsidR="0064370A" w:rsidRPr="0064370A">
              <w:rPr>
                <w:rFonts w:ascii="Arial" w:eastAsia="Times New Roman" w:hAnsi="Arial" w:cs="Arial"/>
                <w:b w:val="0"/>
                <w:sz w:val="20"/>
                <w:szCs w:val="20"/>
                <w:lang w:eastAsia="en-SG"/>
              </w:rPr>
              <w:t>EZ</w:t>
            </w:r>
            <w:r w:rsidR="0064370A" w:rsidRPr="0064370A">
              <w:rPr>
                <w:rFonts w:ascii="Arial" w:eastAsia="Times New Roman" w:hAnsi="Arial" w:cs="Arial"/>
                <w:b w:val="0"/>
                <w:sz w:val="20"/>
                <w:szCs w:val="20"/>
                <w:lang w:val="el-GR" w:eastAsia="en-SG"/>
              </w:rPr>
              <w:t>-</w:t>
            </w:r>
            <w:r w:rsidR="0064370A" w:rsidRPr="0064370A">
              <w:rPr>
                <w:rFonts w:ascii="Arial" w:eastAsia="Times New Roman" w:hAnsi="Arial" w:cs="Arial"/>
                <w:b w:val="0"/>
                <w:sz w:val="20"/>
                <w:szCs w:val="20"/>
                <w:lang w:eastAsia="en-SG"/>
              </w:rPr>
              <w:t>Link</w:t>
            </w:r>
            <w:r w:rsidR="0064370A" w:rsidRPr="0064370A">
              <w:rPr>
                <w:rFonts w:ascii="Arial" w:eastAsia="Times New Roman" w:hAnsi="Arial" w:cs="Arial"/>
                <w:b w:val="0"/>
                <w:sz w:val="20"/>
                <w:szCs w:val="20"/>
                <w:lang w:val="el-GR" w:eastAsia="en-SG"/>
              </w:rPr>
              <w:t xml:space="preserve"> (</w:t>
            </w:r>
            <w:r w:rsidR="0064370A" w:rsidRPr="0064370A">
              <w:rPr>
                <w:rFonts w:ascii="Arial" w:hAnsi="Arial" w:cs="Arial"/>
                <w:b w:val="0"/>
                <w:sz w:val="20"/>
                <w:szCs w:val="20"/>
                <w:lang w:val="el-GR"/>
              </w:rPr>
              <w:t>θυγατρική της Αρχής Μεταφορών της Σιγκαπούρης)</w:t>
            </w:r>
            <w:r w:rsidR="009E4DC9">
              <w:rPr>
                <w:rFonts w:ascii="Arial" w:hAnsi="Arial" w:cs="Arial"/>
                <w:b w:val="0"/>
                <w:sz w:val="20"/>
                <w:szCs w:val="20"/>
                <w:lang w:val="el-GR"/>
              </w:rPr>
              <w:t>.</w:t>
            </w:r>
            <w:r w:rsidR="0064370A" w:rsidRPr="0064370A">
              <w:rPr>
                <w:rFonts w:ascii="Arial" w:hAnsi="Arial" w:cs="Arial"/>
                <w:b w:val="0"/>
                <w:sz w:val="20"/>
                <w:szCs w:val="20"/>
                <w:lang w:val="el-GR"/>
              </w:rPr>
              <w:t xml:space="preserve"> </w:t>
            </w:r>
            <w:r w:rsidR="0064370A" w:rsidRPr="0064370A">
              <w:rPr>
                <w:rFonts w:ascii="Arial" w:eastAsia="Times New Roman" w:hAnsi="Arial" w:cs="Arial"/>
                <w:b w:val="0"/>
                <w:sz w:val="20"/>
                <w:szCs w:val="20"/>
                <w:lang w:val="el-GR" w:eastAsia="en-SG"/>
              </w:rPr>
              <w:t xml:space="preserve"> Η κάρτα είναι αποδεκτή από περισσότερους από 30 εκ. εμπόρους </w:t>
            </w:r>
            <w:proofErr w:type="spellStart"/>
            <w:r w:rsidR="0064370A" w:rsidRPr="0064370A">
              <w:rPr>
                <w:rFonts w:ascii="Arial" w:eastAsia="Times New Roman" w:hAnsi="Arial" w:cs="Arial"/>
                <w:b w:val="0"/>
                <w:sz w:val="20"/>
                <w:szCs w:val="20"/>
                <w:lang w:eastAsia="en-SG"/>
              </w:rPr>
              <w:t>Mastercard</w:t>
            </w:r>
            <w:proofErr w:type="spellEnd"/>
            <w:r w:rsidR="0064370A" w:rsidRPr="0064370A">
              <w:rPr>
                <w:rFonts w:ascii="Arial" w:eastAsia="Times New Roman" w:hAnsi="Arial" w:cs="Arial"/>
                <w:b w:val="0"/>
                <w:sz w:val="20"/>
                <w:szCs w:val="20"/>
                <w:lang w:val="el-GR" w:eastAsia="en-SG"/>
              </w:rPr>
              <w:t xml:space="preserve"> παγκοσμίως.</w:t>
            </w:r>
            <w:r w:rsidR="0064370A" w:rsidRPr="0064370A">
              <w:rPr>
                <w:rFonts w:ascii="Arial" w:hAnsi="Arial" w:cs="Arial"/>
                <w:b w:val="0"/>
                <w:sz w:val="20"/>
                <w:szCs w:val="20"/>
                <w:lang w:val="el-GR"/>
              </w:rPr>
              <w:t xml:space="preserve"> </w:t>
            </w:r>
            <w:r w:rsidR="0064370A" w:rsidRPr="0064370A">
              <w:rPr>
                <w:rFonts w:ascii="Arial" w:eastAsia="Times New Roman" w:hAnsi="Arial" w:cs="Arial"/>
                <w:b w:val="0"/>
                <w:sz w:val="20"/>
                <w:szCs w:val="20"/>
                <w:lang w:val="el-GR" w:eastAsia="en-SG"/>
              </w:rPr>
              <w:t xml:space="preserve">Οι χρήστες πληρώνουν τις κάρτες αποθηκευμένης αξίας τους με έως 3.000 </w:t>
            </w:r>
            <w:r w:rsidR="0064370A" w:rsidRPr="0064370A">
              <w:rPr>
                <w:rFonts w:ascii="Arial" w:eastAsia="Times New Roman" w:hAnsi="Arial" w:cs="Arial"/>
                <w:b w:val="0"/>
                <w:sz w:val="20"/>
                <w:szCs w:val="20"/>
                <w:lang w:val="en-US" w:eastAsia="en-SG"/>
              </w:rPr>
              <w:t>SGD</w:t>
            </w:r>
            <w:r w:rsidR="0064370A" w:rsidRPr="0064370A">
              <w:rPr>
                <w:rFonts w:ascii="Arial" w:eastAsia="Times New Roman" w:hAnsi="Arial" w:cs="Arial"/>
                <w:b w:val="0"/>
                <w:sz w:val="20"/>
                <w:szCs w:val="20"/>
                <w:lang w:val="el-GR" w:eastAsia="en-SG"/>
              </w:rPr>
              <w:t xml:space="preserve"> χρησιμοποιώντας οποιαδήποτε πιστωτική ή χρεωστική κάρτα μέσω της εφαρμογής κινητής τηλεφωνίας </w:t>
            </w:r>
            <w:proofErr w:type="spellStart"/>
            <w:r w:rsidR="0064370A" w:rsidRPr="0064370A">
              <w:rPr>
                <w:rFonts w:ascii="Arial" w:eastAsia="Times New Roman" w:hAnsi="Arial" w:cs="Arial"/>
                <w:b w:val="0"/>
                <w:sz w:val="20"/>
                <w:szCs w:val="20"/>
                <w:lang w:eastAsia="en-SG"/>
              </w:rPr>
              <w:t>YouTrip</w:t>
            </w:r>
            <w:proofErr w:type="spellEnd"/>
            <w:r w:rsidR="0064370A" w:rsidRPr="0064370A">
              <w:rPr>
                <w:rFonts w:ascii="Arial" w:eastAsia="Times New Roman" w:hAnsi="Arial" w:cs="Arial"/>
                <w:b w:val="0"/>
                <w:sz w:val="20"/>
                <w:szCs w:val="20"/>
                <w:lang w:val="el-GR" w:eastAsia="en-SG"/>
              </w:rPr>
              <w:t xml:space="preserve">, η οποία επιτρέπει επίσης στους χρήστες να ανταλλάσσουν 10 επιλεγμένα νομίσματα εντός εφαρμογής. Δεν χρεώνει στους χρήστες καμία μετατροπή συναλλάγματος ή τέλη συναλλαγής, τα οποία επιβαρύνουν τη συναλλαγή έως και 3,5% για τυπικές πιστωτικές ή χρεωστικές κάρτες. Η εταιρεία αποκομίζει τα έσοδά της από εμπόρους που πληρώνουν προμήθεια για κάθε αγορά που πραγματοποιείται με το </w:t>
            </w:r>
            <w:proofErr w:type="spellStart"/>
            <w:r w:rsidR="0064370A" w:rsidRPr="0064370A">
              <w:rPr>
                <w:rFonts w:ascii="Arial" w:eastAsia="Times New Roman" w:hAnsi="Arial" w:cs="Arial"/>
                <w:b w:val="0"/>
                <w:sz w:val="20"/>
                <w:szCs w:val="20"/>
                <w:lang w:eastAsia="en-SG"/>
              </w:rPr>
              <w:t>YouTrip</w:t>
            </w:r>
            <w:proofErr w:type="spellEnd"/>
            <w:r w:rsidR="0064370A" w:rsidRPr="0064370A">
              <w:rPr>
                <w:rFonts w:ascii="Arial" w:eastAsia="Times New Roman" w:hAnsi="Arial" w:cs="Arial"/>
                <w:b w:val="0"/>
                <w:sz w:val="20"/>
                <w:szCs w:val="20"/>
                <w:lang w:val="el-GR" w:eastAsia="en-SG"/>
              </w:rPr>
              <w:t xml:space="preserve">. </w:t>
            </w:r>
            <w:r w:rsidR="0064370A" w:rsidRPr="0064370A">
              <w:rPr>
                <w:rFonts w:ascii="Arial" w:hAnsi="Arial" w:cs="Arial"/>
                <w:b w:val="0"/>
                <w:sz w:val="20"/>
                <w:szCs w:val="20"/>
                <w:lang w:val="el-GR"/>
              </w:rPr>
              <w:t xml:space="preserve">Οι επενδύσεις της </w:t>
            </w:r>
            <w:r w:rsidR="0064370A" w:rsidRPr="0064370A">
              <w:rPr>
                <w:rFonts w:ascii="Arial" w:hAnsi="Arial" w:cs="Arial"/>
                <w:b w:val="0"/>
                <w:sz w:val="20"/>
                <w:szCs w:val="20"/>
              </w:rPr>
              <w:t>Fintech</w:t>
            </w:r>
            <w:r w:rsidR="0064370A" w:rsidRPr="0064370A">
              <w:rPr>
                <w:rFonts w:ascii="Arial" w:hAnsi="Arial" w:cs="Arial"/>
                <w:b w:val="0"/>
                <w:sz w:val="20"/>
                <w:szCs w:val="20"/>
                <w:lang w:val="el-GR"/>
              </w:rPr>
              <w:t xml:space="preserve"> στη Σιγκαπούρη υπερδιπλασιάστηκαν για να φτάσουν τα 365 εκ</w:t>
            </w:r>
            <w:r w:rsidR="009E4DC9">
              <w:rPr>
                <w:rFonts w:ascii="Arial" w:hAnsi="Arial" w:cs="Arial"/>
                <w:b w:val="0"/>
                <w:sz w:val="20"/>
                <w:szCs w:val="20"/>
                <w:lang w:val="el-GR"/>
              </w:rPr>
              <w:t xml:space="preserve">. </w:t>
            </w:r>
            <w:r w:rsidR="009E4DC9" w:rsidRPr="0064370A">
              <w:rPr>
                <w:rFonts w:ascii="Arial" w:eastAsia="Times New Roman" w:hAnsi="Arial" w:cs="Arial"/>
                <w:b w:val="0"/>
                <w:sz w:val="20"/>
                <w:szCs w:val="20"/>
                <w:lang w:val="en-US" w:eastAsia="en-SG"/>
              </w:rPr>
              <w:t>USD</w:t>
            </w:r>
            <w:r w:rsidR="009E4DC9" w:rsidRPr="0064370A">
              <w:rPr>
                <w:rFonts w:ascii="Arial" w:hAnsi="Arial" w:cs="Arial"/>
                <w:b w:val="0"/>
                <w:sz w:val="20"/>
                <w:szCs w:val="20"/>
                <w:lang w:val="el-GR"/>
              </w:rPr>
              <w:t xml:space="preserve"> </w:t>
            </w:r>
            <w:r w:rsidR="0064370A" w:rsidRPr="0064370A">
              <w:rPr>
                <w:rFonts w:ascii="Arial" w:hAnsi="Arial" w:cs="Arial"/>
                <w:b w:val="0"/>
                <w:sz w:val="20"/>
                <w:szCs w:val="20"/>
                <w:lang w:val="el-GR"/>
              </w:rPr>
              <w:t>πέρυσι από 180 εκ</w:t>
            </w:r>
            <w:r w:rsidR="009E4DC9">
              <w:rPr>
                <w:rFonts w:ascii="Arial" w:hAnsi="Arial" w:cs="Arial"/>
                <w:b w:val="0"/>
                <w:sz w:val="20"/>
                <w:szCs w:val="20"/>
                <w:lang w:val="el-GR"/>
              </w:rPr>
              <w:t>.</w:t>
            </w:r>
            <w:r w:rsidR="009E4DC9" w:rsidRPr="009E4DC9">
              <w:rPr>
                <w:rFonts w:ascii="Arial" w:eastAsia="Times New Roman" w:hAnsi="Arial" w:cs="Arial"/>
                <w:b w:val="0"/>
                <w:sz w:val="20"/>
                <w:szCs w:val="20"/>
                <w:lang w:val="el-GR" w:eastAsia="en-SG"/>
              </w:rPr>
              <w:t xml:space="preserve"> </w:t>
            </w:r>
            <w:r w:rsidR="009E4DC9" w:rsidRPr="0064370A">
              <w:rPr>
                <w:rFonts w:ascii="Arial" w:eastAsia="Times New Roman" w:hAnsi="Arial" w:cs="Arial"/>
                <w:b w:val="0"/>
                <w:sz w:val="20"/>
                <w:szCs w:val="20"/>
                <w:lang w:val="en-US" w:eastAsia="en-SG"/>
              </w:rPr>
              <w:t>USD</w:t>
            </w:r>
            <w:r w:rsidR="009E4DC9">
              <w:rPr>
                <w:rFonts w:ascii="Arial" w:hAnsi="Arial" w:cs="Arial"/>
                <w:b w:val="0"/>
                <w:sz w:val="20"/>
                <w:szCs w:val="20"/>
                <w:lang w:val="el-GR"/>
              </w:rPr>
              <w:t xml:space="preserve"> </w:t>
            </w:r>
            <w:r w:rsidR="0064370A" w:rsidRPr="0064370A">
              <w:rPr>
                <w:rFonts w:ascii="Arial" w:hAnsi="Arial" w:cs="Arial"/>
                <w:b w:val="0"/>
                <w:sz w:val="20"/>
                <w:szCs w:val="20"/>
                <w:lang w:val="el-GR"/>
              </w:rPr>
              <w:t xml:space="preserve">το 2017, σύμφωνα με έκθεση της συμβουλευτικής εταιρείας </w:t>
            </w:r>
            <w:r w:rsidR="0064370A" w:rsidRPr="0064370A">
              <w:rPr>
                <w:rFonts w:ascii="Arial" w:hAnsi="Arial" w:cs="Arial"/>
                <w:b w:val="0"/>
                <w:sz w:val="20"/>
                <w:szCs w:val="20"/>
              </w:rPr>
              <w:t>Accenture</w:t>
            </w:r>
            <w:r w:rsidR="0064370A" w:rsidRPr="0064370A">
              <w:rPr>
                <w:rFonts w:ascii="Arial" w:hAnsi="Arial" w:cs="Arial"/>
                <w:b w:val="0"/>
                <w:sz w:val="20"/>
                <w:szCs w:val="20"/>
                <w:lang w:val="el-GR"/>
              </w:rPr>
              <w:t xml:space="preserve">. Σύμφωνα με τους ιδιοκτήτες της </w:t>
            </w:r>
            <w:proofErr w:type="spellStart"/>
            <w:r w:rsidR="0064370A" w:rsidRPr="0064370A">
              <w:rPr>
                <w:rFonts w:ascii="Arial" w:eastAsia="Times New Roman" w:hAnsi="Arial" w:cs="Arial"/>
                <w:b w:val="0"/>
                <w:sz w:val="20"/>
                <w:szCs w:val="20"/>
                <w:lang w:eastAsia="en-SG"/>
              </w:rPr>
              <w:t>YouTrip</w:t>
            </w:r>
            <w:proofErr w:type="spellEnd"/>
            <w:r w:rsidR="0064370A" w:rsidRPr="0064370A">
              <w:rPr>
                <w:rFonts w:ascii="Arial" w:hAnsi="Arial" w:cs="Arial"/>
                <w:b w:val="0"/>
                <w:sz w:val="20"/>
                <w:szCs w:val="20"/>
                <w:lang w:val="el-GR"/>
              </w:rPr>
              <w:t xml:space="preserve"> ο τομέας  </w:t>
            </w:r>
            <w:proofErr w:type="spellStart"/>
            <w:r w:rsidR="0064370A" w:rsidRPr="0064370A">
              <w:rPr>
                <w:rFonts w:ascii="Arial" w:hAnsi="Arial" w:cs="Arial"/>
                <w:b w:val="0"/>
                <w:sz w:val="20"/>
                <w:szCs w:val="20"/>
              </w:rPr>
              <w:t>fintech</w:t>
            </w:r>
            <w:proofErr w:type="spellEnd"/>
            <w:r w:rsidR="0064370A" w:rsidRPr="0064370A">
              <w:rPr>
                <w:rFonts w:ascii="Arial" w:hAnsi="Arial" w:cs="Arial"/>
                <w:b w:val="0"/>
                <w:sz w:val="20"/>
                <w:szCs w:val="20"/>
                <w:lang w:val="el-GR"/>
              </w:rPr>
              <w:t xml:space="preserve"> στη </w:t>
            </w:r>
            <w:proofErr w:type="spellStart"/>
            <w:r w:rsidR="0064370A" w:rsidRPr="0064370A">
              <w:rPr>
                <w:rFonts w:ascii="Arial" w:hAnsi="Arial" w:cs="Arial"/>
                <w:b w:val="0"/>
                <w:sz w:val="20"/>
                <w:szCs w:val="20"/>
                <w:lang w:val="el-GR"/>
              </w:rPr>
              <w:t>Ν.Ασία</w:t>
            </w:r>
            <w:proofErr w:type="spellEnd"/>
            <w:r w:rsidR="0064370A" w:rsidRPr="0064370A">
              <w:rPr>
                <w:rFonts w:ascii="Arial" w:hAnsi="Arial" w:cs="Arial"/>
                <w:b w:val="0"/>
                <w:sz w:val="20"/>
                <w:szCs w:val="20"/>
                <w:lang w:val="el-GR"/>
              </w:rPr>
              <w:t xml:space="preserve"> αναπτύσσεται με έντονους ρυθμούς για να ανταποκριθεί στις αυξανόμενες προσδοκίες των καταναλωτών και η ταξιδιωτική βιομηχανία αντιπροσωπεύει μια τεράστια αναξιοποίητη αγορά στη διασταύρωση αυτής της ανάπτυξης.</w:t>
            </w:r>
            <w:r w:rsidR="0064370A">
              <w:rPr>
                <w:rFonts w:ascii="Arial" w:hAnsi="Arial" w:cs="Arial"/>
                <w:b w:val="0"/>
                <w:sz w:val="20"/>
                <w:szCs w:val="20"/>
                <w:lang w:val="el-GR"/>
              </w:rPr>
              <w:t xml:space="preserve"> (</w:t>
            </w:r>
            <w:r w:rsidR="00F405E7" w:rsidRPr="005536FE">
              <w:rPr>
                <w:rFonts w:ascii="Arial" w:hAnsi="Arial" w:cs="Arial"/>
                <w:sz w:val="16"/>
                <w:szCs w:val="16"/>
                <w:lang w:val="el-GR"/>
              </w:rPr>
              <w:t>ΠΗΓΗ</w:t>
            </w:r>
            <w:r w:rsidR="00F405E7" w:rsidRPr="003B10DA">
              <w:rPr>
                <w:rFonts w:ascii="Arial" w:hAnsi="Arial" w:cs="Arial"/>
                <w:sz w:val="16"/>
                <w:szCs w:val="16"/>
              </w:rPr>
              <w:t xml:space="preserve">: </w:t>
            </w:r>
            <w:r w:rsidR="003E3C3D" w:rsidRPr="003E3C3D">
              <w:rPr>
                <w:rFonts w:ascii="Arial" w:hAnsi="Arial" w:cs="Arial"/>
                <w:sz w:val="16"/>
                <w:szCs w:val="16"/>
                <w:lang w:val="en-US"/>
              </w:rPr>
              <w:t>STRAITSTIMES</w:t>
            </w:r>
            <w:r w:rsidR="0064370A">
              <w:rPr>
                <w:rFonts w:ascii="Arial" w:hAnsi="Arial" w:cs="Arial"/>
                <w:sz w:val="16"/>
                <w:szCs w:val="16"/>
                <w:lang w:val="el-GR"/>
              </w:rPr>
              <w:t xml:space="preserve"> 29/5/2019</w:t>
            </w:r>
            <w:r w:rsidR="003E3C3D" w:rsidRPr="003B10DA">
              <w:rPr>
                <w:rFonts w:ascii="Arial" w:hAnsi="Arial" w:cs="Arial"/>
                <w:sz w:val="16"/>
                <w:szCs w:val="16"/>
              </w:rPr>
              <w:t>)</w:t>
            </w:r>
          </w:p>
          <w:p w:rsidR="00B247DD" w:rsidRPr="00B247DD" w:rsidRDefault="00B247DD" w:rsidP="0064370A">
            <w:pPr>
              <w:jc w:val="both"/>
              <w:rPr>
                <w:rFonts w:ascii="Arial" w:hAnsi="Arial" w:cs="Arial"/>
                <w:sz w:val="16"/>
                <w:szCs w:val="16"/>
                <w:lang w:val="el-GR"/>
              </w:rPr>
            </w:pPr>
          </w:p>
          <w:p w:rsidR="003E3C3D" w:rsidRDefault="008D6AE3" w:rsidP="003E3C3D">
            <w:pPr>
              <w:spacing w:before="100" w:beforeAutospacing="1" w:after="100" w:afterAutospacing="1"/>
              <w:jc w:val="both"/>
              <w:rPr>
                <w:rFonts w:ascii="Arial" w:hAnsi="Arial" w:cs="Arial"/>
                <w:sz w:val="16"/>
                <w:szCs w:val="16"/>
                <w:lang w:val="el-GR"/>
              </w:rPr>
            </w:pPr>
            <w:r>
              <w:rPr>
                <w:rFonts w:ascii="Arial" w:eastAsia="Times New Roman" w:hAnsi="Arial" w:cs="Arial"/>
                <w:sz w:val="28"/>
                <w:szCs w:val="28"/>
                <w:lang w:val="el-GR" w:eastAsia="en-SG"/>
              </w:rPr>
              <w:t>3</w:t>
            </w:r>
            <w:r w:rsidR="00F405E7" w:rsidRPr="00B247DD">
              <w:rPr>
                <w:rFonts w:ascii="Arial" w:eastAsia="Times New Roman" w:hAnsi="Arial" w:cs="Arial"/>
                <w:b w:val="0"/>
                <w:lang w:val="el-GR" w:eastAsia="en-SG"/>
              </w:rPr>
              <w:t>.</w:t>
            </w:r>
            <w:r w:rsidR="00B247DD" w:rsidRPr="00766872">
              <w:rPr>
                <w:rFonts w:ascii="Arial" w:eastAsia="Times New Roman" w:hAnsi="Arial" w:cs="Arial"/>
                <w:sz w:val="24"/>
                <w:szCs w:val="24"/>
                <w:lang w:val="el-GR" w:eastAsia="en-SG"/>
              </w:rPr>
              <w:t xml:space="preserve"> </w:t>
            </w:r>
            <w:r w:rsidR="00B247DD" w:rsidRPr="00B247DD">
              <w:rPr>
                <w:rFonts w:ascii="Arial" w:eastAsia="Times New Roman" w:hAnsi="Arial" w:cs="Arial"/>
                <w:sz w:val="20"/>
                <w:szCs w:val="20"/>
                <w:lang w:val="el-GR" w:eastAsia="en-SG"/>
              </w:rPr>
              <w:t xml:space="preserve">ΠΤΩΣΗ ΤΩΝ ΚΑΘΑΡΩΝ ΚΕΡΔΩΝ ΤΟΥ ΟΜΙΛΟΥ </w:t>
            </w:r>
            <w:r w:rsidR="00B247DD" w:rsidRPr="00B247DD">
              <w:rPr>
                <w:rFonts w:ascii="Arial" w:eastAsia="Times New Roman" w:hAnsi="Arial" w:cs="Arial"/>
                <w:sz w:val="20"/>
                <w:szCs w:val="20"/>
                <w:lang w:val="en-US" w:eastAsia="en-SG"/>
              </w:rPr>
              <w:t>SINGAPOREAIRLINES</w:t>
            </w:r>
            <w:r w:rsidR="00B247DD" w:rsidRPr="00B247DD">
              <w:rPr>
                <w:rFonts w:ascii="Arial" w:eastAsia="Times New Roman" w:hAnsi="Arial" w:cs="Arial"/>
                <w:b w:val="0"/>
                <w:sz w:val="20"/>
                <w:szCs w:val="20"/>
                <w:lang w:val="el-GR" w:eastAsia="en-SG"/>
              </w:rPr>
              <w:t xml:space="preserve">. </w:t>
            </w:r>
            <w:r w:rsidR="00B247DD" w:rsidRPr="00B247DD">
              <w:rPr>
                <w:rFonts w:ascii="Arial" w:eastAsia="Times New Roman" w:hAnsi="Arial" w:cs="Arial"/>
                <w:b w:val="0"/>
                <w:sz w:val="20"/>
                <w:szCs w:val="20"/>
                <w:lang w:val="el-GR" w:eastAsia="en-SG"/>
              </w:rPr>
              <w:t xml:space="preserve">Σύμφωνα με ανακοίνωση της </w:t>
            </w:r>
            <w:proofErr w:type="spellStart"/>
            <w:r w:rsidR="00B247DD" w:rsidRPr="00B247DD">
              <w:rPr>
                <w:rFonts w:ascii="Arial" w:eastAsia="Times New Roman" w:hAnsi="Arial" w:cs="Arial"/>
                <w:b w:val="0"/>
                <w:sz w:val="20"/>
                <w:szCs w:val="20"/>
                <w:lang w:val="en-US" w:eastAsia="en-SG"/>
              </w:rPr>
              <w:t>SingaporeAirlines</w:t>
            </w:r>
            <w:proofErr w:type="spellEnd"/>
            <w:r w:rsidR="00B247DD" w:rsidRPr="00B247DD">
              <w:rPr>
                <w:rFonts w:ascii="Arial" w:eastAsia="Times New Roman" w:hAnsi="Arial" w:cs="Arial"/>
                <w:b w:val="0"/>
                <w:sz w:val="20"/>
                <w:szCs w:val="20"/>
                <w:lang w:val="el-GR" w:eastAsia="en-SG"/>
              </w:rPr>
              <w:t xml:space="preserve"> (16/5/2019) τα ετήσια καθαρά κέρδη του ομίλου για την περίοδο Μαρτίου 2018-Μαρτίου 2019, υποχώρησαν κατά 47,5%, αγγίζοντας τα 683 εκ. </w:t>
            </w:r>
            <w:r w:rsidR="00B247DD" w:rsidRPr="00B247DD">
              <w:rPr>
                <w:rFonts w:ascii="Arial" w:eastAsia="Times New Roman" w:hAnsi="Arial" w:cs="Arial"/>
                <w:b w:val="0"/>
                <w:sz w:val="20"/>
                <w:szCs w:val="20"/>
                <w:lang w:val="en-US" w:eastAsia="en-SG"/>
              </w:rPr>
              <w:t>SGD</w:t>
            </w:r>
            <w:r w:rsidR="00B247DD" w:rsidRPr="00B247DD">
              <w:rPr>
                <w:rFonts w:ascii="Arial" w:eastAsia="Times New Roman" w:hAnsi="Arial" w:cs="Arial"/>
                <w:b w:val="0"/>
                <w:sz w:val="20"/>
                <w:szCs w:val="20"/>
                <w:lang w:val="el-GR" w:eastAsia="en-SG"/>
              </w:rPr>
              <w:t>, παρόλο που τα λειτουργικά έσοδα ανήλθαν στα 1</w:t>
            </w:r>
            <w:proofErr w:type="gramStart"/>
            <w:r w:rsidR="00B247DD" w:rsidRPr="00B247DD">
              <w:rPr>
                <w:rFonts w:ascii="Arial" w:eastAsia="Times New Roman" w:hAnsi="Arial" w:cs="Arial"/>
                <w:b w:val="0"/>
                <w:sz w:val="20"/>
                <w:szCs w:val="20"/>
                <w:lang w:val="el-GR" w:eastAsia="en-SG"/>
              </w:rPr>
              <w:t>,07</w:t>
            </w:r>
            <w:proofErr w:type="gramEnd"/>
            <w:r w:rsidR="00B247DD" w:rsidRPr="00B247DD">
              <w:rPr>
                <w:rFonts w:ascii="Arial" w:eastAsia="Times New Roman" w:hAnsi="Arial" w:cs="Arial"/>
                <w:b w:val="0"/>
                <w:sz w:val="20"/>
                <w:szCs w:val="20"/>
                <w:lang w:val="el-GR" w:eastAsia="en-SG"/>
              </w:rPr>
              <w:t xml:space="preserve"> δις </w:t>
            </w:r>
            <w:r w:rsidR="00B247DD" w:rsidRPr="00B247DD">
              <w:rPr>
                <w:rFonts w:ascii="Arial" w:eastAsia="Times New Roman" w:hAnsi="Arial" w:cs="Arial"/>
                <w:b w:val="0"/>
                <w:sz w:val="20"/>
                <w:szCs w:val="20"/>
                <w:lang w:val="en-US" w:eastAsia="en-SG"/>
              </w:rPr>
              <w:t>SGD</w:t>
            </w:r>
            <w:r w:rsidR="00B247DD" w:rsidRPr="00B247DD">
              <w:rPr>
                <w:rFonts w:ascii="Arial" w:eastAsia="Times New Roman" w:hAnsi="Arial" w:cs="Arial"/>
                <w:b w:val="0"/>
                <w:sz w:val="20"/>
                <w:szCs w:val="20"/>
                <w:lang w:val="el-GR" w:eastAsia="en-SG"/>
              </w:rPr>
              <w:t xml:space="preserve">. Η πτώση οφείλεται κυρίως στις υψηλότερες τιμές των καυσίμων καθώς και στις δαπάνες που προέκυψαν από την διαδικασία συγχώνευσης της </w:t>
            </w:r>
            <w:proofErr w:type="spellStart"/>
            <w:r w:rsidR="00B247DD" w:rsidRPr="00B247DD">
              <w:rPr>
                <w:rFonts w:ascii="Arial" w:eastAsia="Times New Roman" w:hAnsi="Arial" w:cs="Arial"/>
                <w:b w:val="0"/>
                <w:sz w:val="20"/>
                <w:szCs w:val="20"/>
                <w:lang w:eastAsia="en-SG"/>
              </w:rPr>
              <w:t>SilkAir</w:t>
            </w:r>
            <w:proofErr w:type="spellEnd"/>
            <w:r w:rsidR="00B247DD" w:rsidRPr="00B247DD">
              <w:rPr>
                <w:rFonts w:ascii="Arial" w:eastAsia="Times New Roman" w:hAnsi="Arial" w:cs="Arial"/>
                <w:b w:val="0"/>
                <w:sz w:val="20"/>
                <w:szCs w:val="20"/>
                <w:lang w:val="el-GR" w:eastAsia="en-SG"/>
              </w:rPr>
              <w:t xml:space="preserve"> με τη μητρική εταιρεία. Κατά τη διάρκεια του υπό εξέταση έτους, οι αερομεταφορείς του ομίλου </w:t>
            </w:r>
            <w:r w:rsidR="00B247DD" w:rsidRPr="00B247DD">
              <w:rPr>
                <w:rFonts w:ascii="Arial" w:eastAsia="Times New Roman" w:hAnsi="Arial" w:cs="Arial"/>
                <w:b w:val="0"/>
                <w:sz w:val="20"/>
                <w:szCs w:val="20"/>
                <w:lang w:eastAsia="en-SG"/>
              </w:rPr>
              <w:t>SIA</w:t>
            </w:r>
            <w:r w:rsidR="00B247DD" w:rsidRPr="00B247DD">
              <w:rPr>
                <w:rFonts w:ascii="Arial" w:eastAsia="Times New Roman" w:hAnsi="Arial" w:cs="Arial"/>
                <w:b w:val="0"/>
                <w:sz w:val="20"/>
                <w:szCs w:val="20"/>
                <w:lang w:val="el-GR" w:eastAsia="en-SG"/>
              </w:rPr>
              <w:t xml:space="preserve"> - η μητρική αεροπορική εταιρεία, η  </w:t>
            </w:r>
            <w:proofErr w:type="spellStart"/>
            <w:r w:rsidR="00B247DD" w:rsidRPr="00B247DD">
              <w:rPr>
                <w:rFonts w:ascii="Arial" w:eastAsia="Times New Roman" w:hAnsi="Arial" w:cs="Arial"/>
                <w:b w:val="0"/>
                <w:sz w:val="20"/>
                <w:szCs w:val="20"/>
                <w:lang w:eastAsia="en-SG"/>
              </w:rPr>
              <w:t>SilkAir</w:t>
            </w:r>
            <w:proofErr w:type="spellEnd"/>
            <w:r w:rsidR="00B247DD" w:rsidRPr="00B247DD">
              <w:rPr>
                <w:rFonts w:ascii="Arial" w:eastAsia="Times New Roman" w:hAnsi="Arial" w:cs="Arial"/>
                <w:b w:val="0"/>
                <w:sz w:val="20"/>
                <w:szCs w:val="20"/>
                <w:lang w:val="el-GR" w:eastAsia="en-SG"/>
              </w:rPr>
              <w:t xml:space="preserve"> και η </w:t>
            </w:r>
            <w:r w:rsidR="00B247DD" w:rsidRPr="00B247DD">
              <w:rPr>
                <w:rFonts w:ascii="Arial" w:eastAsia="Times New Roman" w:hAnsi="Arial" w:cs="Arial"/>
                <w:b w:val="0"/>
                <w:sz w:val="20"/>
                <w:szCs w:val="20"/>
                <w:lang w:eastAsia="en-SG"/>
              </w:rPr>
              <w:t>Scoot</w:t>
            </w:r>
            <w:r w:rsidR="00B247DD" w:rsidRPr="00B247DD">
              <w:rPr>
                <w:rFonts w:ascii="Arial" w:eastAsia="Times New Roman" w:hAnsi="Arial" w:cs="Arial"/>
                <w:b w:val="0"/>
                <w:sz w:val="20"/>
                <w:szCs w:val="20"/>
                <w:lang w:val="el-GR" w:eastAsia="en-SG"/>
              </w:rPr>
              <w:t xml:space="preserve"> – </w:t>
            </w:r>
            <w:r w:rsidR="00B247DD">
              <w:rPr>
                <w:rFonts w:ascii="Arial" w:eastAsia="Times New Roman" w:hAnsi="Arial" w:cs="Arial"/>
                <w:b w:val="0"/>
                <w:sz w:val="20"/>
                <w:szCs w:val="20"/>
                <w:lang w:val="el-GR" w:eastAsia="en-SG"/>
              </w:rPr>
              <w:t xml:space="preserve">κάλυψαν </w:t>
            </w:r>
            <w:r w:rsidR="00B247DD" w:rsidRPr="00B247DD">
              <w:rPr>
                <w:rFonts w:ascii="Arial" w:eastAsia="Times New Roman" w:hAnsi="Arial" w:cs="Arial"/>
                <w:b w:val="0"/>
                <w:sz w:val="20"/>
                <w:szCs w:val="20"/>
                <w:lang w:val="el-GR" w:eastAsia="en-SG"/>
              </w:rPr>
              <w:t xml:space="preserve">κατά μέσο όρο το 83% πληρότητας θέσεων, ποσοστό το οποίο αποτελεί ρεκόρ. Ωστόσο, οι δαπάνες αυξήθηκαν κατά 7%, </w:t>
            </w:r>
            <w:r w:rsidR="00B247DD" w:rsidRPr="00B247DD">
              <w:rPr>
                <w:rFonts w:ascii="Arial" w:eastAsia="Times New Roman" w:hAnsi="Arial" w:cs="Arial"/>
                <w:b w:val="0"/>
                <w:sz w:val="20"/>
                <w:szCs w:val="20"/>
                <w:lang w:val="el-GR" w:eastAsia="en-SG"/>
              </w:rPr>
              <w:lastRenderedPageBreak/>
              <w:t xml:space="preserve">αγγίζοντας τα 999 εκ. </w:t>
            </w:r>
            <w:r w:rsidR="00B247DD" w:rsidRPr="00B247DD">
              <w:rPr>
                <w:rFonts w:ascii="Arial" w:eastAsia="Times New Roman" w:hAnsi="Arial" w:cs="Arial"/>
                <w:b w:val="0"/>
                <w:sz w:val="20"/>
                <w:szCs w:val="20"/>
                <w:lang w:val="en-US" w:eastAsia="en-SG"/>
              </w:rPr>
              <w:t>SGD</w:t>
            </w:r>
            <w:r w:rsidR="00B247DD" w:rsidRPr="00B247DD">
              <w:rPr>
                <w:rFonts w:ascii="Arial" w:eastAsia="Times New Roman" w:hAnsi="Arial" w:cs="Arial"/>
                <w:b w:val="0"/>
                <w:sz w:val="20"/>
                <w:szCs w:val="20"/>
                <w:lang w:val="el-GR" w:eastAsia="en-SG"/>
              </w:rPr>
              <w:t xml:space="preserve">, με υψηλότερο καθαρό κόστος καυσίμων να αντιπροσωπεύει τα </w:t>
            </w:r>
            <w:r w:rsidR="009E4DC9">
              <w:rPr>
                <w:rFonts w:ascii="Arial" w:eastAsia="Times New Roman" w:hAnsi="Arial" w:cs="Arial"/>
                <w:b w:val="0"/>
                <w:sz w:val="20"/>
                <w:szCs w:val="20"/>
                <w:lang w:val="el-GR" w:eastAsia="en-SG"/>
              </w:rPr>
              <w:t>2/3</w:t>
            </w:r>
            <w:r w:rsidR="00B247DD" w:rsidRPr="00B247DD">
              <w:rPr>
                <w:rFonts w:ascii="Arial" w:eastAsia="Times New Roman" w:hAnsi="Arial" w:cs="Arial"/>
                <w:b w:val="0"/>
                <w:sz w:val="20"/>
                <w:szCs w:val="20"/>
                <w:lang w:val="el-GR" w:eastAsia="en-SG"/>
              </w:rPr>
              <w:t xml:space="preserve"> της αύξησης. </w:t>
            </w:r>
            <w:r w:rsidR="00B247DD">
              <w:rPr>
                <w:rFonts w:ascii="Arial" w:eastAsia="Times New Roman" w:hAnsi="Arial" w:cs="Arial"/>
                <w:b w:val="0"/>
                <w:sz w:val="20"/>
                <w:szCs w:val="20"/>
                <w:lang w:val="el-GR" w:eastAsia="en-SG"/>
              </w:rPr>
              <w:t xml:space="preserve">Σύμφωνα με την ανακοίνωση </w:t>
            </w:r>
            <w:r w:rsidR="00B247DD" w:rsidRPr="00B247DD">
              <w:rPr>
                <w:rFonts w:ascii="Arial" w:hAnsi="Arial" w:cs="Arial"/>
                <w:b w:val="0"/>
                <w:sz w:val="20"/>
                <w:szCs w:val="20"/>
                <w:lang w:val="el-GR"/>
              </w:rPr>
              <w:t>οι μελλοντικές κρατήσεις επιβατών για τις περισσότερες βασικές αγορές, συμπεριλαμβανομένων εκείνων που έχουν σημειώσει σημαντική αύξηση, όπως οι ΗΠΑ, η Ιαπωνία, η Ινδονησία και η Νέα Ζηλανδία, συνεχίζουν να αυξάνονται με υγιή ρυθμό. Ωστόσο, τα ποσοστά ανάπτυξης της κινεζικής διεθνούς κίνησης έχουν υποχωρήσει σε μια περίοδο αυξημένης προσφοράς</w:t>
            </w:r>
            <w:r w:rsidR="00B247DD">
              <w:rPr>
                <w:rFonts w:ascii="Arial" w:hAnsi="Arial" w:cs="Arial"/>
                <w:b w:val="0"/>
                <w:sz w:val="20"/>
                <w:szCs w:val="20"/>
                <w:lang w:val="el-GR"/>
              </w:rPr>
              <w:t>.</w:t>
            </w:r>
            <w:r w:rsidR="00B247DD" w:rsidRPr="00B247DD">
              <w:rPr>
                <w:rFonts w:ascii="Arial" w:hAnsi="Arial" w:cs="Arial"/>
                <w:b w:val="0"/>
                <w:sz w:val="20"/>
                <w:szCs w:val="20"/>
                <w:lang w:val="el-GR"/>
              </w:rPr>
              <w:t xml:space="preserve"> Παρά τη σημερινή εικόνα της ζήτησης, οι συνεχιζόμενες εμπορικές διαφωνίες και η επιβράδυνση της οικονομικής ανάπτυξης σε βασικές αγορές δημιουργούν αβεβαιότητα για το περιβάλλον λειτουργίας</w:t>
            </w:r>
            <w:r w:rsidR="00B247DD">
              <w:rPr>
                <w:rFonts w:ascii="Arial" w:hAnsi="Arial" w:cs="Arial"/>
                <w:b w:val="0"/>
                <w:sz w:val="20"/>
                <w:szCs w:val="20"/>
                <w:lang w:val="el-GR"/>
              </w:rPr>
              <w:t xml:space="preserve"> </w:t>
            </w:r>
            <w:r w:rsidR="00B247DD" w:rsidRPr="00B247DD">
              <w:rPr>
                <w:rFonts w:ascii="Arial" w:hAnsi="Arial" w:cs="Arial"/>
                <w:b w:val="0"/>
                <w:sz w:val="20"/>
                <w:szCs w:val="20"/>
                <w:lang w:val="el-GR"/>
              </w:rPr>
              <w:t>τόσο στις εμπορευματικές όσο και στις επιβατικές μεταφορές</w:t>
            </w:r>
            <w:r w:rsidR="00B247DD">
              <w:rPr>
                <w:rFonts w:ascii="Arial" w:hAnsi="Arial" w:cs="Arial"/>
                <w:b w:val="0"/>
                <w:sz w:val="20"/>
                <w:szCs w:val="20"/>
                <w:lang w:val="el-GR"/>
              </w:rPr>
              <w:t xml:space="preserve">. Υπογραμμίζεται τέλος ότι </w:t>
            </w:r>
            <w:r w:rsidR="00B247DD" w:rsidRPr="00B247DD">
              <w:rPr>
                <w:rFonts w:ascii="Arial" w:hAnsi="Arial" w:cs="Arial"/>
                <w:b w:val="0"/>
                <w:sz w:val="20"/>
                <w:szCs w:val="20"/>
                <w:lang w:val="el-GR"/>
              </w:rPr>
              <w:t xml:space="preserve"> θέματα που σχετίζονται με τον στόλο της </w:t>
            </w:r>
            <w:r w:rsidR="00B247DD" w:rsidRPr="00B247DD">
              <w:rPr>
                <w:rFonts w:ascii="Arial" w:hAnsi="Arial" w:cs="Arial"/>
                <w:b w:val="0"/>
                <w:sz w:val="20"/>
                <w:szCs w:val="20"/>
              </w:rPr>
              <w:t>Boeing</w:t>
            </w:r>
            <w:r w:rsidR="00B247DD" w:rsidRPr="00B247DD">
              <w:rPr>
                <w:rFonts w:ascii="Arial" w:hAnsi="Arial" w:cs="Arial"/>
                <w:b w:val="0"/>
                <w:sz w:val="20"/>
                <w:szCs w:val="20"/>
                <w:lang w:val="el-GR"/>
              </w:rPr>
              <w:t xml:space="preserve"> 737 </w:t>
            </w:r>
            <w:r w:rsidR="00B247DD" w:rsidRPr="00B247DD">
              <w:rPr>
                <w:rFonts w:ascii="Arial" w:hAnsi="Arial" w:cs="Arial"/>
                <w:b w:val="0"/>
                <w:sz w:val="20"/>
                <w:szCs w:val="20"/>
              </w:rPr>
              <w:t>Max</w:t>
            </w:r>
            <w:r w:rsidR="00B247DD" w:rsidRPr="00B247DD">
              <w:rPr>
                <w:rFonts w:ascii="Arial" w:hAnsi="Arial" w:cs="Arial"/>
                <w:b w:val="0"/>
                <w:sz w:val="20"/>
                <w:szCs w:val="20"/>
                <w:lang w:val="el-GR"/>
              </w:rPr>
              <w:t xml:space="preserve"> 8, τα οποία οδήγησαν στην αναστολή της λειτουργίας του, καθώς και ζητήματα που αφορούν τους κινητήρες </w:t>
            </w:r>
            <w:r w:rsidR="00B247DD" w:rsidRPr="00B247DD">
              <w:rPr>
                <w:rFonts w:ascii="Arial" w:hAnsi="Arial" w:cs="Arial"/>
                <w:b w:val="0"/>
                <w:sz w:val="20"/>
                <w:szCs w:val="20"/>
              </w:rPr>
              <w:t>TEN</w:t>
            </w:r>
            <w:r w:rsidR="00B247DD" w:rsidRPr="00B247DD">
              <w:rPr>
                <w:rFonts w:ascii="Arial" w:hAnsi="Arial" w:cs="Arial"/>
                <w:b w:val="0"/>
                <w:sz w:val="20"/>
                <w:szCs w:val="20"/>
                <w:lang w:val="el-GR"/>
              </w:rPr>
              <w:t xml:space="preserve"> 1000 </w:t>
            </w:r>
            <w:r w:rsidR="00B247DD" w:rsidRPr="00B247DD">
              <w:rPr>
                <w:rFonts w:ascii="Arial" w:hAnsi="Arial" w:cs="Arial"/>
                <w:b w:val="0"/>
                <w:sz w:val="20"/>
                <w:szCs w:val="20"/>
              </w:rPr>
              <w:t>Rolls</w:t>
            </w:r>
            <w:r w:rsidR="00B247DD" w:rsidRPr="00B247DD">
              <w:rPr>
                <w:rFonts w:ascii="Arial" w:hAnsi="Arial" w:cs="Arial"/>
                <w:b w:val="0"/>
                <w:sz w:val="20"/>
                <w:szCs w:val="20"/>
                <w:lang w:val="el-GR"/>
              </w:rPr>
              <w:t>-</w:t>
            </w:r>
            <w:r w:rsidR="00B247DD" w:rsidRPr="00B247DD">
              <w:rPr>
                <w:rFonts w:ascii="Arial" w:hAnsi="Arial" w:cs="Arial"/>
                <w:b w:val="0"/>
                <w:sz w:val="20"/>
                <w:szCs w:val="20"/>
              </w:rPr>
              <w:t>Royce</w:t>
            </w:r>
            <w:r w:rsidR="00B247DD" w:rsidRPr="00B247DD">
              <w:rPr>
                <w:rFonts w:ascii="Arial" w:hAnsi="Arial" w:cs="Arial"/>
                <w:b w:val="0"/>
                <w:sz w:val="20"/>
                <w:szCs w:val="20"/>
                <w:lang w:val="el-GR"/>
              </w:rPr>
              <w:t xml:space="preserve"> </w:t>
            </w:r>
            <w:r w:rsidR="00B247DD" w:rsidRPr="00B247DD">
              <w:rPr>
                <w:rFonts w:ascii="Arial" w:hAnsi="Arial" w:cs="Arial"/>
                <w:b w:val="0"/>
                <w:sz w:val="20"/>
                <w:szCs w:val="20"/>
              </w:rPr>
              <w:t>Trent</w:t>
            </w:r>
            <w:r w:rsidR="00B247DD" w:rsidRPr="00B247DD">
              <w:rPr>
                <w:rFonts w:ascii="Arial" w:hAnsi="Arial" w:cs="Arial"/>
                <w:b w:val="0"/>
                <w:sz w:val="20"/>
                <w:szCs w:val="20"/>
                <w:lang w:val="el-GR"/>
              </w:rPr>
              <w:t xml:space="preserve"> 1000 που τροφοδοτούν </w:t>
            </w:r>
            <w:r w:rsidR="00B247DD" w:rsidRPr="00B247DD">
              <w:rPr>
                <w:rFonts w:ascii="Arial" w:hAnsi="Arial" w:cs="Arial"/>
                <w:b w:val="0"/>
                <w:sz w:val="20"/>
                <w:szCs w:val="20"/>
              </w:rPr>
              <w:t>Boeing</w:t>
            </w:r>
            <w:r w:rsidR="00B247DD" w:rsidRPr="00B247DD">
              <w:rPr>
                <w:rFonts w:ascii="Arial" w:hAnsi="Arial" w:cs="Arial"/>
                <w:b w:val="0"/>
                <w:sz w:val="20"/>
                <w:szCs w:val="20"/>
                <w:lang w:val="el-GR"/>
              </w:rPr>
              <w:t xml:space="preserve"> 787</w:t>
            </w:r>
            <w:r w:rsidR="00B247DD" w:rsidRPr="00B247DD">
              <w:rPr>
                <w:rFonts w:ascii="Arial" w:hAnsi="Arial" w:cs="Arial"/>
                <w:b w:val="0"/>
                <w:sz w:val="20"/>
                <w:szCs w:val="20"/>
              </w:rPr>
              <w:t>s</w:t>
            </w:r>
            <w:r w:rsidR="00B247DD" w:rsidRPr="00B247DD">
              <w:rPr>
                <w:rFonts w:ascii="Arial" w:hAnsi="Arial" w:cs="Arial"/>
                <w:b w:val="0"/>
                <w:sz w:val="20"/>
                <w:szCs w:val="20"/>
                <w:lang w:val="el-GR"/>
              </w:rPr>
              <w:t>, επηρέασαν την αύξηση της χωρητικότητας των επιβατών</w:t>
            </w:r>
            <w:r w:rsidR="00B247DD">
              <w:rPr>
                <w:rFonts w:ascii="Arial" w:hAnsi="Arial" w:cs="Arial"/>
                <w:b w:val="0"/>
                <w:sz w:val="20"/>
                <w:szCs w:val="20"/>
                <w:lang w:val="el-GR"/>
              </w:rPr>
              <w:t xml:space="preserve">. </w:t>
            </w:r>
            <w:r w:rsidR="003E3C3D" w:rsidRPr="003E3C3D">
              <w:rPr>
                <w:rFonts w:ascii="Arial" w:hAnsi="Arial" w:cs="Arial"/>
                <w:sz w:val="16"/>
                <w:szCs w:val="16"/>
                <w:lang w:val="el-GR"/>
              </w:rPr>
              <w:t>ΠΗΓΗ</w:t>
            </w:r>
            <w:r w:rsidR="003E3C3D" w:rsidRPr="00B247DD">
              <w:rPr>
                <w:rFonts w:ascii="Arial" w:hAnsi="Arial" w:cs="Arial"/>
                <w:sz w:val="16"/>
                <w:szCs w:val="16"/>
                <w:lang w:val="el-GR"/>
              </w:rPr>
              <w:t xml:space="preserve">: </w:t>
            </w:r>
            <w:r w:rsidR="003E3C3D" w:rsidRPr="003E3C3D">
              <w:rPr>
                <w:rFonts w:ascii="Arial" w:hAnsi="Arial" w:cs="Arial"/>
                <w:sz w:val="16"/>
                <w:szCs w:val="16"/>
                <w:lang w:val="en-US"/>
              </w:rPr>
              <w:t>STRAITSTIMES</w:t>
            </w:r>
            <w:r w:rsidR="003E3C3D" w:rsidRPr="00B247DD">
              <w:rPr>
                <w:rFonts w:ascii="Arial" w:hAnsi="Arial" w:cs="Arial"/>
                <w:sz w:val="16"/>
                <w:szCs w:val="16"/>
                <w:lang w:val="el-GR"/>
              </w:rPr>
              <w:t xml:space="preserve"> </w:t>
            </w:r>
            <w:r w:rsidR="00B247DD">
              <w:rPr>
                <w:rFonts w:ascii="Arial" w:hAnsi="Arial" w:cs="Arial"/>
                <w:sz w:val="16"/>
                <w:szCs w:val="16"/>
                <w:lang w:val="el-GR"/>
              </w:rPr>
              <w:t>16</w:t>
            </w:r>
            <w:r w:rsidR="003E3C3D" w:rsidRPr="00B247DD">
              <w:rPr>
                <w:rFonts w:ascii="Arial" w:hAnsi="Arial" w:cs="Arial"/>
                <w:sz w:val="16"/>
                <w:szCs w:val="16"/>
                <w:lang w:val="el-GR"/>
              </w:rPr>
              <w:t>/</w:t>
            </w:r>
            <w:r w:rsidR="00B247DD">
              <w:rPr>
                <w:rFonts w:ascii="Arial" w:hAnsi="Arial" w:cs="Arial"/>
                <w:sz w:val="16"/>
                <w:szCs w:val="16"/>
                <w:lang w:val="el-GR"/>
              </w:rPr>
              <w:t>05/</w:t>
            </w:r>
            <w:r w:rsidR="003E3C3D" w:rsidRPr="00B247DD">
              <w:rPr>
                <w:rFonts w:ascii="Arial" w:hAnsi="Arial" w:cs="Arial"/>
                <w:sz w:val="16"/>
                <w:szCs w:val="16"/>
                <w:lang w:val="el-GR"/>
              </w:rPr>
              <w:t xml:space="preserve">2019 </w:t>
            </w:r>
          </w:p>
          <w:p w:rsidR="008D6AE3" w:rsidRDefault="008D6AE3" w:rsidP="008D6AE3">
            <w:pPr>
              <w:jc w:val="both"/>
              <w:rPr>
                <w:rFonts w:ascii="Arial" w:hAnsi="Arial" w:cs="Arial"/>
                <w:sz w:val="16"/>
                <w:szCs w:val="16"/>
                <w:lang w:val="el-GR"/>
              </w:rPr>
            </w:pPr>
            <w:r>
              <w:rPr>
                <w:rFonts w:ascii="Arial" w:eastAsia="Times New Roman" w:hAnsi="Arial" w:cs="Arial"/>
                <w:sz w:val="28"/>
                <w:szCs w:val="28"/>
                <w:lang w:val="el-GR" w:eastAsia="en-SG"/>
              </w:rPr>
              <w:t>4</w:t>
            </w:r>
            <w:r w:rsidR="000C07B5" w:rsidRPr="00B247DD">
              <w:rPr>
                <w:rFonts w:ascii="Arial" w:eastAsia="Times New Roman" w:hAnsi="Arial" w:cs="Arial"/>
                <w:lang w:val="el-GR" w:eastAsia="en-SG"/>
              </w:rPr>
              <w:t>.</w:t>
            </w:r>
            <w:r w:rsidR="000C07B5" w:rsidRPr="00B247DD">
              <w:rPr>
                <w:rFonts w:ascii="Arial" w:eastAsia="Times New Roman" w:hAnsi="Arial" w:cs="Arial"/>
                <w:b w:val="0"/>
                <w:lang w:val="el-GR" w:eastAsia="en-SG"/>
              </w:rPr>
              <w:t xml:space="preserve"> </w:t>
            </w:r>
            <w:r w:rsidRPr="008D6AE3">
              <w:rPr>
                <w:rFonts w:ascii="Arial" w:eastAsia="Times New Roman" w:hAnsi="Arial" w:cs="Arial"/>
                <w:sz w:val="20"/>
                <w:szCs w:val="20"/>
                <w:lang w:val="el-GR" w:eastAsia="en-SG"/>
              </w:rPr>
              <w:t>ΣΥΡΡΙΚΝΩΣΗ ΤΟΥ ΟΓΚΟΥ ΤΩΝ ΣΤΕΓΑΣΤΙΚΩΝ ΔΑΝΕΙΩΝ</w:t>
            </w:r>
            <w:r w:rsidRPr="008D6AE3">
              <w:rPr>
                <w:rFonts w:ascii="Arial" w:eastAsia="Times New Roman" w:hAnsi="Arial" w:cs="Arial"/>
                <w:b w:val="0"/>
                <w:sz w:val="20"/>
                <w:szCs w:val="20"/>
                <w:lang w:val="el-GR" w:eastAsia="en-SG"/>
              </w:rPr>
              <w:t xml:space="preserve">. Οι εγχώριες τράπεζες της Σιγκαπούρης OCBC και η </w:t>
            </w:r>
            <w:r w:rsidRPr="008D6AE3">
              <w:rPr>
                <w:rFonts w:ascii="Arial" w:eastAsia="Times New Roman" w:hAnsi="Arial" w:cs="Arial"/>
                <w:b w:val="0"/>
                <w:sz w:val="20"/>
                <w:szCs w:val="20"/>
                <w:lang w:eastAsia="en-SG"/>
              </w:rPr>
              <w:t>DBS</w:t>
            </w:r>
            <w:r w:rsidRPr="008D6AE3">
              <w:rPr>
                <w:rFonts w:ascii="Arial" w:eastAsia="Times New Roman" w:hAnsi="Arial" w:cs="Arial"/>
                <w:b w:val="0"/>
                <w:sz w:val="20"/>
                <w:szCs w:val="20"/>
                <w:lang w:val="el-GR" w:eastAsia="en-SG"/>
              </w:rPr>
              <w:t xml:space="preserve"> </w:t>
            </w:r>
            <w:r w:rsidRPr="008D6AE3">
              <w:rPr>
                <w:rFonts w:ascii="Arial" w:eastAsia="Times New Roman" w:hAnsi="Arial" w:cs="Arial"/>
                <w:b w:val="0"/>
                <w:sz w:val="20"/>
                <w:szCs w:val="20"/>
                <w:lang w:eastAsia="en-SG"/>
              </w:rPr>
              <w:t>Group</w:t>
            </w:r>
            <w:r w:rsidRPr="008D6AE3">
              <w:rPr>
                <w:rFonts w:ascii="Arial" w:eastAsia="Times New Roman" w:hAnsi="Arial" w:cs="Arial"/>
                <w:b w:val="0"/>
                <w:sz w:val="20"/>
                <w:szCs w:val="20"/>
                <w:lang w:val="el-GR" w:eastAsia="en-SG"/>
              </w:rPr>
              <w:t xml:space="preserve"> </w:t>
            </w:r>
            <w:r w:rsidRPr="008D6AE3">
              <w:rPr>
                <w:rFonts w:ascii="Arial" w:eastAsia="Times New Roman" w:hAnsi="Arial" w:cs="Arial"/>
                <w:b w:val="0"/>
                <w:sz w:val="20"/>
                <w:szCs w:val="20"/>
                <w:lang w:eastAsia="en-SG"/>
              </w:rPr>
              <w:t>Holdings</w:t>
            </w:r>
            <w:r w:rsidR="00BB16AF">
              <w:rPr>
                <w:rFonts w:ascii="Arial" w:eastAsia="Times New Roman" w:hAnsi="Arial" w:cs="Arial"/>
                <w:b w:val="0"/>
                <w:sz w:val="20"/>
                <w:szCs w:val="20"/>
                <w:lang w:val="el-GR" w:eastAsia="en-SG"/>
              </w:rPr>
              <w:t>,</w:t>
            </w:r>
            <w:r w:rsidRPr="008D6AE3">
              <w:rPr>
                <w:rFonts w:ascii="Arial" w:eastAsia="Times New Roman" w:hAnsi="Arial" w:cs="Arial"/>
                <w:b w:val="0"/>
                <w:sz w:val="20"/>
                <w:szCs w:val="20"/>
                <w:lang w:val="el-GR" w:eastAsia="en-SG"/>
              </w:rPr>
              <w:t xml:space="preserve"> κάνουν λόγο για συρρίκνωση του όγκου των χορηγούμενων στεγαστικών δανείων, ειδικότερα κατά το </w:t>
            </w:r>
            <w:proofErr w:type="spellStart"/>
            <w:r w:rsidRPr="008D6AE3">
              <w:rPr>
                <w:rFonts w:ascii="Arial" w:eastAsia="Times New Roman" w:hAnsi="Arial" w:cs="Arial"/>
                <w:b w:val="0"/>
                <w:sz w:val="20"/>
                <w:szCs w:val="20"/>
                <w:lang w:val="el-GR" w:eastAsia="en-SG"/>
              </w:rPr>
              <w:t>α΄</w:t>
            </w:r>
            <w:proofErr w:type="spellEnd"/>
            <w:r w:rsidRPr="008D6AE3">
              <w:rPr>
                <w:rFonts w:ascii="Arial" w:eastAsia="Times New Roman" w:hAnsi="Arial" w:cs="Arial"/>
                <w:b w:val="0"/>
                <w:sz w:val="20"/>
                <w:szCs w:val="20"/>
                <w:lang w:val="el-GR" w:eastAsia="en-SG"/>
              </w:rPr>
              <w:t xml:space="preserve"> τρίμηνο  2019, καθώς φαίνεται να εξασθενεί η ζήτηση, μετά τα μέτρα που εφήρμοσε η Κυβέρνηση της Σιγκαπούρης τον Ιούλιο 2019. Σύμφωνα με το Διευθύνοντα Σύμβουλο της OCBC κ. </w:t>
            </w:r>
            <w:proofErr w:type="spellStart"/>
            <w:r w:rsidRPr="008D6AE3">
              <w:rPr>
                <w:rFonts w:ascii="Arial" w:eastAsia="Times New Roman" w:hAnsi="Arial" w:cs="Arial"/>
                <w:b w:val="0"/>
                <w:sz w:val="20"/>
                <w:szCs w:val="20"/>
                <w:lang w:eastAsia="en-SG"/>
              </w:rPr>
              <w:t>Tsien</w:t>
            </w:r>
            <w:proofErr w:type="spellEnd"/>
            <w:r w:rsidRPr="008D6AE3">
              <w:rPr>
                <w:rFonts w:ascii="Arial" w:eastAsia="Times New Roman" w:hAnsi="Arial" w:cs="Arial"/>
                <w:b w:val="0"/>
                <w:sz w:val="20"/>
                <w:szCs w:val="20"/>
                <w:lang w:val="el-GR" w:eastAsia="en-SG"/>
              </w:rPr>
              <w:t>, ο όγκος των στεγαστικών δανείων ανήλθε στα 64</w:t>
            </w:r>
            <w:proofErr w:type="gramStart"/>
            <w:r w:rsidRPr="008D6AE3">
              <w:rPr>
                <w:rFonts w:ascii="Arial" w:eastAsia="Times New Roman" w:hAnsi="Arial" w:cs="Arial"/>
                <w:b w:val="0"/>
                <w:sz w:val="20"/>
                <w:szCs w:val="20"/>
                <w:lang w:val="el-GR" w:eastAsia="en-SG"/>
              </w:rPr>
              <w:t>,8</w:t>
            </w:r>
            <w:proofErr w:type="gramEnd"/>
            <w:r w:rsidRPr="008D6AE3">
              <w:rPr>
                <w:rFonts w:ascii="Arial" w:eastAsia="Times New Roman" w:hAnsi="Arial" w:cs="Arial"/>
                <w:b w:val="0"/>
                <w:sz w:val="20"/>
                <w:szCs w:val="20"/>
                <w:lang w:val="el-GR" w:eastAsia="en-SG"/>
              </w:rPr>
              <w:t xml:space="preserve"> δις </w:t>
            </w:r>
            <w:r w:rsidRPr="008D6AE3">
              <w:rPr>
                <w:rFonts w:ascii="Arial" w:eastAsia="Times New Roman" w:hAnsi="Arial" w:cs="Arial"/>
                <w:b w:val="0"/>
                <w:sz w:val="20"/>
                <w:szCs w:val="20"/>
                <w:lang w:val="en-US" w:eastAsia="en-SG"/>
              </w:rPr>
              <w:t>SGD</w:t>
            </w:r>
            <w:r w:rsidRPr="008D6AE3">
              <w:rPr>
                <w:rFonts w:ascii="Arial" w:eastAsia="Times New Roman" w:hAnsi="Arial" w:cs="Arial"/>
                <w:b w:val="0"/>
                <w:sz w:val="20"/>
                <w:szCs w:val="20"/>
                <w:lang w:val="el-GR" w:eastAsia="en-SG"/>
              </w:rPr>
              <w:t xml:space="preserve"> έως τις 3/3/2019, έναντι 64,5 δις  </w:t>
            </w:r>
            <w:r w:rsidRPr="008D6AE3">
              <w:rPr>
                <w:rFonts w:ascii="Arial" w:eastAsia="Times New Roman" w:hAnsi="Arial" w:cs="Arial"/>
                <w:b w:val="0"/>
                <w:sz w:val="20"/>
                <w:szCs w:val="20"/>
                <w:lang w:val="en-US" w:eastAsia="en-SG"/>
              </w:rPr>
              <w:t>SGD</w:t>
            </w:r>
            <w:r w:rsidRPr="008D6AE3">
              <w:rPr>
                <w:rFonts w:ascii="Arial" w:eastAsia="Times New Roman" w:hAnsi="Arial" w:cs="Arial"/>
                <w:b w:val="0"/>
                <w:sz w:val="20"/>
                <w:szCs w:val="20"/>
                <w:lang w:val="el-GR" w:eastAsia="en-SG"/>
              </w:rPr>
              <w:t xml:space="preserve">  στο τέλος του 2018, ενώ έως τις 31/3/2018 είχαν διαμορφωθεί στα 64,2 δις </w:t>
            </w:r>
            <w:r w:rsidRPr="008D6AE3">
              <w:rPr>
                <w:rFonts w:ascii="Arial" w:eastAsia="Times New Roman" w:hAnsi="Arial" w:cs="Arial"/>
                <w:b w:val="0"/>
                <w:sz w:val="20"/>
                <w:szCs w:val="20"/>
                <w:lang w:val="en-US" w:eastAsia="en-SG"/>
              </w:rPr>
              <w:t>SGD</w:t>
            </w:r>
            <w:r w:rsidRPr="008D6AE3">
              <w:rPr>
                <w:rFonts w:ascii="Arial" w:eastAsia="Times New Roman" w:hAnsi="Arial" w:cs="Arial"/>
                <w:b w:val="0"/>
                <w:sz w:val="20"/>
                <w:szCs w:val="20"/>
                <w:lang w:val="el-GR" w:eastAsia="en-SG"/>
              </w:rPr>
              <w:t xml:space="preserve">. Παρόλη τη συρρίκνωση της αγοράς στεγαστικών δανείων, τα οποία αποτελούν το 20% του κύκλου εργασιών της τράπεζας,  ο κ. </w:t>
            </w:r>
            <w:proofErr w:type="spellStart"/>
            <w:r w:rsidRPr="008D6AE3">
              <w:rPr>
                <w:rFonts w:ascii="Arial" w:eastAsia="Times New Roman" w:hAnsi="Arial" w:cs="Arial"/>
                <w:b w:val="0"/>
                <w:sz w:val="20"/>
                <w:szCs w:val="20"/>
                <w:lang w:eastAsia="en-SG"/>
              </w:rPr>
              <w:t>Tsien</w:t>
            </w:r>
            <w:proofErr w:type="spellEnd"/>
            <w:r w:rsidRPr="008D6AE3">
              <w:rPr>
                <w:rFonts w:ascii="Arial" w:eastAsia="Times New Roman" w:hAnsi="Arial" w:cs="Arial"/>
                <w:b w:val="0"/>
                <w:sz w:val="20"/>
                <w:szCs w:val="20"/>
                <w:lang w:val="el-GR" w:eastAsia="en-SG"/>
              </w:rPr>
              <w:t xml:space="preserve"> δήλωσε ότι η τράπεζα δεν είναι πρόθυμη να μειώσει τα επιτόκια προκειμένου να αυξήσει τον όγκο των δανείων.</w:t>
            </w:r>
            <w:r w:rsidRPr="008D6AE3">
              <w:rPr>
                <w:b w:val="0"/>
                <w:sz w:val="20"/>
                <w:szCs w:val="20"/>
                <w:lang w:val="el-GR"/>
              </w:rPr>
              <w:t xml:space="preserve"> </w:t>
            </w:r>
            <w:r w:rsidRPr="008D6AE3">
              <w:rPr>
                <w:rFonts w:ascii="Arial" w:hAnsi="Arial" w:cs="Arial"/>
                <w:b w:val="0"/>
                <w:sz w:val="20"/>
                <w:szCs w:val="20"/>
                <w:lang w:val="el-GR"/>
              </w:rPr>
              <w:t xml:space="preserve">Αντίθετα, η </w:t>
            </w:r>
            <w:r w:rsidRPr="008D6AE3">
              <w:rPr>
                <w:rFonts w:ascii="Arial" w:hAnsi="Arial" w:cs="Arial"/>
                <w:b w:val="0"/>
                <w:sz w:val="20"/>
                <w:szCs w:val="20"/>
              </w:rPr>
              <w:t>DBS</w:t>
            </w:r>
            <w:r w:rsidRPr="008D6AE3">
              <w:rPr>
                <w:rFonts w:ascii="Arial" w:hAnsi="Arial" w:cs="Arial"/>
                <w:b w:val="0"/>
                <w:sz w:val="20"/>
                <w:szCs w:val="20"/>
                <w:lang w:val="el-GR"/>
              </w:rPr>
              <w:t xml:space="preserve"> </w:t>
            </w:r>
            <w:r w:rsidRPr="008D6AE3">
              <w:rPr>
                <w:rFonts w:ascii="Arial" w:hAnsi="Arial" w:cs="Arial"/>
                <w:b w:val="0"/>
                <w:sz w:val="20"/>
                <w:szCs w:val="20"/>
              </w:rPr>
              <w:t>Group</w:t>
            </w:r>
            <w:r w:rsidRPr="008D6AE3">
              <w:rPr>
                <w:rFonts w:ascii="Arial" w:hAnsi="Arial" w:cs="Arial"/>
                <w:b w:val="0"/>
                <w:sz w:val="20"/>
                <w:szCs w:val="20"/>
                <w:lang w:val="el-GR"/>
              </w:rPr>
              <w:t xml:space="preserve"> </w:t>
            </w:r>
            <w:r w:rsidRPr="008D6AE3">
              <w:rPr>
                <w:rFonts w:ascii="Arial" w:hAnsi="Arial" w:cs="Arial"/>
                <w:b w:val="0"/>
                <w:sz w:val="20"/>
                <w:szCs w:val="20"/>
              </w:rPr>
              <w:t>Holdings</w:t>
            </w:r>
            <w:r w:rsidRPr="008D6AE3">
              <w:rPr>
                <w:rFonts w:ascii="Arial" w:hAnsi="Arial" w:cs="Arial"/>
                <w:b w:val="0"/>
                <w:sz w:val="20"/>
                <w:szCs w:val="20"/>
                <w:lang w:val="el-GR"/>
              </w:rPr>
              <w:t xml:space="preserve"> είδε το χαρτοφυλάκιο των ενυπόθηκων δανείων να συρρικνώνεται για πρώτη φορά μετά από χρόνια, κατά το </w:t>
            </w:r>
            <w:proofErr w:type="spellStart"/>
            <w:r w:rsidRPr="008D6AE3">
              <w:rPr>
                <w:rFonts w:ascii="Arial" w:hAnsi="Arial" w:cs="Arial"/>
                <w:b w:val="0"/>
                <w:sz w:val="20"/>
                <w:szCs w:val="20"/>
                <w:lang w:val="el-GR"/>
              </w:rPr>
              <w:t>α΄</w:t>
            </w:r>
            <w:proofErr w:type="spellEnd"/>
            <w:r w:rsidRPr="008D6AE3">
              <w:rPr>
                <w:rFonts w:ascii="Arial" w:hAnsi="Arial" w:cs="Arial"/>
                <w:b w:val="0"/>
                <w:sz w:val="20"/>
                <w:szCs w:val="20"/>
                <w:lang w:val="el-GR"/>
              </w:rPr>
              <w:t xml:space="preserve"> τρίμηνο </w:t>
            </w:r>
            <w:proofErr w:type="spellStart"/>
            <w:r w:rsidRPr="008D6AE3">
              <w:rPr>
                <w:rFonts w:ascii="Arial" w:hAnsi="Arial" w:cs="Arial"/>
                <w:b w:val="0"/>
                <w:sz w:val="20"/>
                <w:szCs w:val="20"/>
                <w:lang w:val="el-GR"/>
              </w:rPr>
              <w:t>τ.ε</w:t>
            </w:r>
            <w:proofErr w:type="spellEnd"/>
            <w:r w:rsidRPr="008D6AE3">
              <w:rPr>
                <w:rFonts w:ascii="Arial" w:hAnsi="Arial" w:cs="Arial"/>
                <w:b w:val="0"/>
                <w:sz w:val="20"/>
                <w:szCs w:val="20"/>
                <w:lang w:val="el-GR"/>
              </w:rPr>
              <w:t xml:space="preserve">. σύμφωνα με τα αποτελέσματα που δημοσιεύθηκαν τον περασμένο μήνα. Τα συνολικά στεγαστικά δάνεια της </w:t>
            </w:r>
            <w:r w:rsidRPr="008D6AE3">
              <w:rPr>
                <w:rFonts w:ascii="Arial" w:hAnsi="Arial" w:cs="Arial"/>
                <w:b w:val="0"/>
                <w:sz w:val="20"/>
                <w:szCs w:val="20"/>
              </w:rPr>
              <w:t>DBS</w:t>
            </w:r>
            <w:r w:rsidRPr="008D6AE3">
              <w:rPr>
                <w:rFonts w:ascii="Arial" w:hAnsi="Arial" w:cs="Arial"/>
                <w:b w:val="0"/>
                <w:sz w:val="20"/>
                <w:szCs w:val="20"/>
                <w:lang w:val="el-GR"/>
              </w:rPr>
              <w:t xml:space="preserve"> υποχώρησαν στα 74,4 </w:t>
            </w:r>
            <w:r w:rsidRPr="008D6AE3">
              <w:rPr>
                <w:rFonts w:ascii="Arial" w:eastAsia="Times New Roman" w:hAnsi="Arial" w:cs="Arial"/>
                <w:b w:val="0"/>
                <w:sz w:val="20"/>
                <w:szCs w:val="20"/>
                <w:lang w:val="el-GR" w:eastAsia="en-SG"/>
              </w:rPr>
              <w:t xml:space="preserve">δις </w:t>
            </w:r>
            <w:r w:rsidRPr="008D6AE3">
              <w:rPr>
                <w:rFonts w:ascii="Arial" w:eastAsia="Times New Roman" w:hAnsi="Arial" w:cs="Arial"/>
                <w:b w:val="0"/>
                <w:sz w:val="20"/>
                <w:szCs w:val="20"/>
                <w:lang w:val="en-US" w:eastAsia="en-SG"/>
              </w:rPr>
              <w:t>SGD</w:t>
            </w:r>
            <w:r w:rsidRPr="008D6AE3">
              <w:rPr>
                <w:rFonts w:ascii="Arial" w:hAnsi="Arial" w:cs="Arial"/>
                <w:b w:val="0"/>
                <w:sz w:val="20"/>
                <w:szCs w:val="20"/>
                <w:lang w:val="el-GR"/>
              </w:rPr>
              <w:t xml:space="preserve"> στις 31/3/2019, από 75 </w:t>
            </w:r>
            <w:r w:rsidRPr="008D6AE3">
              <w:rPr>
                <w:rFonts w:ascii="Arial" w:eastAsia="Times New Roman" w:hAnsi="Arial" w:cs="Arial"/>
                <w:b w:val="0"/>
                <w:sz w:val="20"/>
                <w:szCs w:val="20"/>
                <w:lang w:val="el-GR" w:eastAsia="en-SG"/>
              </w:rPr>
              <w:t xml:space="preserve">δις </w:t>
            </w:r>
            <w:r w:rsidRPr="008D6AE3">
              <w:rPr>
                <w:rFonts w:ascii="Arial" w:eastAsia="Times New Roman" w:hAnsi="Arial" w:cs="Arial"/>
                <w:b w:val="0"/>
                <w:sz w:val="20"/>
                <w:szCs w:val="20"/>
                <w:lang w:val="en-US" w:eastAsia="en-SG"/>
              </w:rPr>
              <w:t>SGD</w:t>
            </w:r>
            <w:r w:rsidRPr="008D6AE3">
              <w:rPr>
                <w:rFonts w:ascii="Arial" w:hAnsi="Arial" w:cs="Arial"/>
                <w:b w:val="0"/>
                <w:sz w:val="20"/>
                <w:szCs w:val="20"/>
                <w:lang w:val="el-GR"/>
              </w:rPr>
              <w:t xml:space="preserve"> στο τέλος του 2018, ενώ στις 31/3/2018 ανέρχονταν στα 73,5 </w:t>
            </w:r>
            <w:r w:rsidRPr="008D6AE3">
              <w:rPr>
                <w:rFonts w:ascii="Arial" w:eastAsia="Times New Roman" w:hAnsi="Arial" w:cs="Arial"/>
                <w:b w:val="0"/>
                <w:sz w:val="20"/>
                <w:szCs w:val="20"/>
                <w:lang w:val="el-GR" w:eastAsia="en-SG"/>
              </w:rPr>
              <w:t xml:space="preserve">δις </w:t>
            </w:r>
            <w:r w:rsidRPr="008D6AE3">
              <w:rPr>
                <w:rFonts w:ascii="Arial" w:eastAsia="Times New Roman" w:hAnsi="Arial" w:cs="Arial"/>
                <w:b w:val="0"/>
                <w:sz w:val="20"/>
                <w:szCs w:val="20"/>
                <w:lang w:val="en-US" w:eastAsia="en-SG"/>
              </w:rPr>
              <w:t>SGD</w:t>
            </w:r>
            <w:r w:rsidRPr="008D6AE3">
              <w:rPr>
                <w:rFonts w:ascii="Arial" w:hAnsi="Arial" w:cs="Arial"/>
                <w:b w:val="0"/>
                <w:sz w:val="20"/>
                <w:szCs w:val="20"/>
                <w:lang w:val="el-GR"/>
              </w:rPr>
              <w:t xml:space="preserve">. Η συρρίκνωση του στεγαστικού δανείου στη Σιγκαπούρη, ύψους περίπου μισού δις </w:t>
            </w:r>
            <w:r w:rsidRPr="008D6AE3">
              <w:rPr>
                <w:rFonts w:ascii="Arial" w:eastAsia="Times New Roman" w:hAnsi="Arial" w:cs="Arial"/>
                <w:b w:val="0"/>
                <w:sz w:val="20"/>
                <w:szCs w:val="20"/>
                <w:lang w:val="en-US" w:eastAsia="en-SG"/>
              </w:rPr>
              <w:t>SGD</w:t>
            </w:r>
            <w:r w:rsidRPr="008D6AE3">
              <w:rPr>
                <w:rFonts w:ascii="Arial" w:hAnsi="Arial" w:cs="Arial"/>
                <w:b w:val="0"/>
                <w:sz w:val="20"/>
                <w:szCs w:val="20"/>
                <w:lang w:val="el-GR"/>
              </w:rPr>
              <w:t xml:space="preserve"> οφειλόταν στα μέτρα που εφάρμοσε η Κυβέρνηση τον Ιούλιο του 2018, σύμφωνα με τον Διευθύνων Σύμβουλος της </w:t>
            </w:r>
            <w:r w:rsidRPr="008D6AE3">
              <w:rPr>
                <w:rFonts w:ascii="Arial" w:hAnsi="Arial" w:cs="Arial"/>
                <w:b w:val="0"/>
                <w:sz w:val="20"/>
                <w:szCs w:val="20"/>
              </w:rPr>
              <w:t>DBS</w:t>
            </w:r>
            <w:r w:rsidRPr="008D6AE3">
              <w:rPr>
                <w:rFonts w:ascii="Arial" w:hAnsi="Arial" w:cs="Arial"/>
                <w:b w:val="0"/>
                <w:sz w:val="20"/>
                <w:szCs w:val="20"/>
                <w:lang w:val="el-GR"/>
              </w:rPr>
              <w:t xml:space="preserve">, κ. </w:t>
            </w:r>
            <w:r w:rsidRPr="008D6AE3">
              <w:rPr>
                <w:rFonts w:ascii="Arial" w:hAnsi="Arial" w:cs="Arial"/>
                <w:b w:val="0"/>
                <w:sz w:val="20"/>
                <w:szCs w:val="20"/>
              </w:rPr>
              <w:t>Gupta</w:t>
            </w:r>
            <w:r w:rsidRPr="008D6AE3">
              <w:rPr>
                <w:rFonts w:ascii="Arial" w:hAnsi="Arial" w:cs="Arial"/>
                <w:b w:val="0"/>
                <w:sz w:val="20"/>
                <w:szCs w:val="20"/>
                <w:lang w:val="el-GR"/>
              </w:rPr>
              <w:t xml:space="preserve">.  </w:t>
            </w:r>
            <w:r w:rsidRPr="008D6AE3">
              <w:rPr>
                <w:rFonts w:ascii="Arial" w:eastAsia="Times New Roman" w:hAnsi="Arial" w:cs="Arial"/>
                <w:b w:val="0"/>
                <w:sz w:val="20"/>
                <w:szCs w:val="20"/>
                <w:lang w:val="el-GR" w:eastAsia="en-SG"/>
              </w:rPr>
              <w:t xml:space="preserve">Σύμφωνα με αναλυτές  της </w:t>
            </w:r>
            <w:r w:rsidRPr="008D6AE3">
              <w:rPr>
                <w:rFonts w:ascii="Arial" w:eastAsia="Times New Roman" w:hAnsi="Arial" w:cs="Arial"/>
                <w:b w:val="0"/>
                <w:sz w:val="20"/>
                <w:szCs w:val="20"/>
                <w:lang w:eastAsia="en-SG"/>
              </w:rPr>
              <w:t>Phillip</w:t>
            </w:r>
            <w:r w:rsidRPr="008D6AE3">
              <w:rPr>
                <w:rFonts w:ascii="Arial" w:eastAsia="Times New Roman" w:hAnsi="Arial" w:cs="Arial"/>
                <w:b w:val="0"/>
                <w:sz w:val="20"/>
                <w:szCs w:val="20"/>
                <w:lang w:val="el-GR" w:eastAsia="en-SG"/>
              </w:rPr>
              <w:t xml:space="preserve"> </w:t>
            </w:r>
            <w:r w:rsidRPr="008D6AE3">
              <w:rPr>
                <w:rFonts w:ascii="Arial" w:eastAsia="Times New Roman" w:hAnsi="Arial" w:cs="Arial"/>
                <w:b w:val="0"/>
                <w:sz w:val="20"/>
                <w:szCs w:val="20"/>
                <w:lang w:eastAsia="en-SG"/>
              </w:rPr>
              <w:t>Securities</w:t>
            </w:r>
            <w:r w:rsidRPr="008D6AE3">
              <w:rPr>
                <w:rFonts w:ascii="Arial" w:eastAsia="Times New Roman" w:hAnsi="Arial" w:cs="Arial"/>
                <w:b w:val="0"/>
                <w:sz w:val="20"/>
                <w:szCs w:val="20"/>
                <w:lang w:val="el-GR" w:eastAsia="en-SG"/>
              </w:rPr>
              <w:t xml:space="preserve">, το </w:t>
            </w:r>
            <w:proofErr w:type="spellStart"/>
            <w:r w:rsidRPr="008D6AE3">
              <w:rPr>
                <w:rFonts w:ascii="Arial" w:eastAsia="Times New Roman" w:hAnsi="Arial" w:cs="Arial"/>
                <w:b w:val="0"/>
                <w:sz w:val="20"/>
                <w:szCs w:val="20"/>
                <w:lang w:eastAsia="en-SG"/>
              </w:rPr>
              <w:t>Sibor</w:t>
            </w:r>
            <w:proofErr w:type="spellEnd"/>
            <w:r w:rsidRPr="008D6AE3">
              <w:rPr>
                <w:rFonts w:ascii="Arial" w:eastAsia="Times New Roman" w:hAnsi="Arial" w:cs="Arial"/>
                <w:b w:val="0"/>
                <w:sz w:val="20"/>
                <w:szCs w:val="20"/>
                <w:lang w:val="el-GR" w:eastAsia="en-SG"/>
              </w:rPr>
              <w:t xml:space="preserve"> (διατραπεζικό επιτόκιο) και το </w:t>
            </w:r>
            <w:r w:rsidRPr="008D6AE3">
              <w:rPr>
                <w:rFonts w:ascii="Arial" w:eastAsia="Times New Roman" w:hAnsi="Arial" w:cs="Arial"/>
                <w:b w:val="0"/>
                <w:sz w:val="20"/>
                <w:szCs w:val="20"/>
                <w:lang w:eastAsia="en-SG"/>
              </w:rPr>
              <w:t>SOR</w:t>
            </w:r>
            <w:r w:rsidR="00435DAB">
              <w:rPr>
                <w:rFonts w:ascii="Arial" w:eastAsia="Times New Roman" w:hAnsi="Arial" w:cs="Arial"/>
                <w:b w:val="0"/>
                <w:sz w:val="20"/>
                <w:szCs w:val="20"/>
                <w:lang w:val="el-GR" w:eastAsia="en-SG"/>
              </w:rPr>
              <w:t xml:space="preserve"> (επιτόκιο προσφοράς</w:t>
            </w:r>
            <w:r w:rsidRPr="008D6AE3">
              <w:rPr>
                <w:rFonts w:ascii="Arial" w:eastAsia="Times New Roman" w:hAnsi="Arial" w:cs="Arial"/>
                <w:b w:val="0"/>
                <w:sz w:val="20"/>
                <w:szCs w:val="20"/>
                <w:lang w:val="el-GR" w:eastAsia="en-SG"/>
              </w:rPr>
              <w:t xml:space="preserve">) αυξάνονται σταθερά από το 2016, εντούτοις, φαίνεται να διαμορφώνονται κοντά στο 2%, από την αρχή του 2019, υποδηλώνοντας ότι οι </w:t>
            </w:r>
            <w:r w:rsidR="00435DAB">
              <w:rPr>
                <w:rFonts w:ascii="Arial" w:eastAsia="Times New Roman" w:hAnsi="Arial" w:cs="Arial"/>
                <w:b w:val="0"/>
                <w:sz w:val="20"/>
                <w:szCs w:val="20"/>
                <w:lang w:val="el-GR" w:eastAsia="en-SG"/>
              </w:rPr>
              <w:t xml:space="preserve"> καθοδικές </w:t>
            </w:r>
            <w:r w:rsidRPr="008D6AE3">
              <w:rPr>
                <w:rFonts w:ascii="Arial" w:eastAsia="Times New Roman" w:hAnsi="Arial" w:cs="Arial"/>
                <w:b w:val="0"/>
                <w:sz w:val="20"/>
                <w:szCs w:val="20"/>
                <w:lang w:val="el-GR" w:eastAsia="en-SG"/>
              </w:rPr>
              <w:t>πιέσεις των επιτοκίων στα στεγαστικά δάνεια μπορεί να περιοριστούν σε αυτό το επίπεδο. Παρόλα αυτά, η επιβράδυνση της αύξησης των στεγαστικών δανείων είναι "κόκκινη σημαία" για τις δανειακές δραστηριότητες του τραπεζικού τομέα, όπου τα στεγαστικά δάνεια αποτελούν το 30% των συνολικών εγχώριων δανείων στη Σιγκαπούρη.</w:t>
            </w:r>
            <w:r w:rsidRPr="008D6AE3">
              <w:rPr>
                <w:b w:val="0"/>
                <w:sz w:val="20"/>
                <w:szCs w:val="20"/>
                <w:lang w:val="el-GR"/>
              </w:rPr>
              <w:t xml:space="preserve"> </w:t>
            </w:r>
            <w:r w:rsidR="003E3C3D" w:rsidRPr="003E3C3D">
              <w:rPr>
                <w:rFonts w:ascii="Arial" w:hAnsi="Arial" w:cs="Arial"/>
                <w:sz w:val="16"/>
                <w:szCs w:val="16"/>
                <w:lang w:val="el-GR"/>
              </w:rPr>
              <w:t>ΠΗΓΗ</w:t>
            </w:r>
            <w:r w:rsidR="003E3C3D" w:rsidRPr="00B247DD">
              <w:rPr>
                <w:rFonts w:ascii="Arial" w:hAnsi="Arial" w:cs="Arial"/>
                <w:sz w:val="16"/>
                <w:szCs w:val="16"/>
                <w:lang w:val="el-GR"/>
              </w:rPr>
              <w:t xml:space="preserve">: </w:t>
            </w:r>
            <w:r w:rsidR="003E3C3D" w:rsidRPr="003E3C3D">
              <w:rPr>
                <w:rFonts w:ascii="Arial" w:hAnsi="Arial" w:cs="Arial"/>
                <w:sz w:val="16"/>
                <w:szCs w:val="16"/>
                <w:lang w:val="en-US"/>
              </w:rPr>
              <w:t>STRAITSTIMES</w:t>
            </w:r>
            <w:r w:rsidR="003E3C3D" w:rsidRPr="00B247DD">
              <w:rPr>
                <w:rFonts w:ascii="Arial" w:hAnsi="Arial" w:cs="Arial"/>
                <w:sz w:val="16"/>
                <w:szCs w:val="16"/>
                <w:lang w:val="el-GR"/>
              </w:rPr>
              <w:t xml:space="preserve"> </w:t>
            </w:r>
            <w:r>
              <w:rPr>
                <w:rFonts w:ascii="Arial" w:hAnsi="Arial" w:cs="Arial"/>
                <w:sz w:val="16"/>
                <w:szCs w:val="16"/>
                <w:lang w:val="el-GR"/>
              </w:rPr>
              <w:t>11</w:t>
            </w:r>
            <w:r w:rsidR="003E3C3D" w:rsidRPr="00B247DD">
              <w:rPr>
                <w:rFonts w:ascii="Arial" w:hAnsi="Arial" w:cs="Arial"/>
                <w:sz w:val="16"/>
                <w:szCs w:val="16"/>
                <w:lang w:val="el-GR"/>
              </w:rPr>
              <w:t>/</w:t>
            </w:r>
            <w:r>
              <w:rPr>
                <w:rFonts w:ascii="Arial" w:hAnsi="Arial" w:cs="Arial"/>
                <w:sz w:val="16"/>
                <w:szCs w:val="16"/>
                <w:lang w:val="el-GR"/>
              </w:rPr>
              <w:t>05/</w:t>
            </w:r>
            <w:r w:rsidR="003E3C3D" w:rsidRPr="00B247DD">
              <w:rPr>
                <w:rFonts w:ascii="Arial" w:hAnsi="Arial" w:cs="Arial"/>
                <w:sz w:val="16"/>
                <w:szCs w:val="16"/>
                <w:lang w:val="el-GR"/>
              </w:rPr>
              <w:t>2019</w:t>
            </w:r>
          </w:p>
          <w:p w:rsidR="008D6AE3" w:rsidRDefault="008D6AE3" w:rsidP="008D6AE3">
            <w:pPr>
              <w:jc w:val="both"/>
              <w:rPr>
                <w:rFonts w:ascii="Arial" w:hAnsi="Arial" w:cs="Arial"/>
                <w:sz w:val="16"/>
                <w:szCs w:val="16"/>
                <w:lang w:val="el-GR"/>
              </w:rPr>
            </w:pPr>
          </w:p>
          <w:p w:rsidR="008D6AE3" w:rsidRDefault="008D6AE3" w:rsidP="008D6AE3">
            <w:pPr>
              <w:jc w:val="both"/>
              <w:rPr>
                <w:rFonts w:ascii="Arial" w:hAnsi="Arial" w:cs="Arial"/>
                <w:sz w:val="16"/>
                <w:szCs w:val="16"/>
                <w:lang w:val="el-GR"/>
              </w:rPr>
            </w:pPr>
          </w:p>
          <w:p w:rsidR="008D6AE3" w:rsidRPr="00B247DD" w:rsidRDefault="008D6AE3" w:rsidP="008D6AE3">
            <w:pPr>
              <w:jc w:val="both"/>
              <w:rPr>
                <w:b w:val="0"/>
                <w:lang w:val="el-GR"/>
              </w:rPr>
            </w:pPr>
          </w:p>
        </w:tc>
      </w:tr>
      <w:tr w:rsidR="001D351B" w:rsidRPr="00D5789F" w:rsidTr="001D351B">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207" w:type="dxa"/>
          </w:tcPr>
          <w:p w:rsidR="001D351B" w:rsidRPr="0033511C" w:rsidRDefault="0033511C" w:rsidP="001D351B">
            <w:pPr>
              <w:ind w:firstLine="34"/>
              <w:jc w:val="center"/>
              <w:rPr>
                <w:rFonts w:ascii="Arial Black" w:hAnsi="Arial Black"/>
                <w:b w:val="0"/>
                <w:sz w:val="28"/>
                <w:szCs w:val="28"/>
                <w:lang w:val="el-GR"/>
              </w:rPr>
            </w:pPr>
            <w:r w:rsidRPr="0033511C">
              <w:rPr>
                <w:rFonts w:ascii="Arial Black" w:hAnsi="Arial Black"/>
                <w:b w:val="0"/>
                <w:sz w:val="28"/>
                <w:szCs w:val="28"/>
                <w:lang w:val="el-GR"/>
              </w:rPr>
              <w:lastRenderedPageBreak/>
              <w:t xml:space="preserve">ΟΙΚΟΝΟΜΙΚΕΣ ΣΧΕΣΕΙΣ ΕΛΛΑΔΟΣ – ΣΙΓΚΠΑΠΟΥΡΗΣ </w:t>
            </w:r>
          </w:p>
        </w:tc>
      </w:tr>
      <w:tr w:rsidR="001D351B" w:rsidRPr="00435DAB" w:rsidTr="00C73A33">
        <w:trPr>
          <w:cnfStyle w:val="000000100000" w:firstRow="0" w:lastRow="0" w:firstColumn="0" w:lastColumn="0" w:oddVBand="0" w:evenVBand="0" w:oddHBand="1" w:evenHBand="0" w:firstRowFirstColumn="0" w:firstRowLastColumn="0" w:lastRowFirstColumn="0" w:lastRowLastColumn="0"/>
          <w:trHeight w:val="2107"/>
        </w:trPr>
        <w:tc>
          <w:tcPr>
            <w:cnfStyle w:val="001000000000" w:firstRow="0" w:lastRow="0" w:firstColumn="1" w:lastColumn="0" w:oddVBand="0" w:evenVBand="0" w:oddHBand="0" w:evenHBand="0" w:firstRowFirstColumn="0" w:firstRowLastColumn="0" w:lastRowFirstColumn="0" w:lastRowLastColumn="0"/>
            <w:tcW w:w="10207" w:type="dxa"/>
          </w:tcPr>
          <w:p w:rsidR="00435DAB" w:rsidRPr="00A87CE6" w:rsidRDefault="001D351B" w:rsidP="00435DAB">
            <w:pPr>
              <w:ind w:firstLine="720"/>
              <w:jc w:val="both"/>
              <w:rPr>
                <w:rFonts w:ascii="Arial" w:hAnsi="Arial" w:cs="Arial"/>
                <w:sz w:val="18"/>
                <w:szCs w:val="18"/>
                <w:lang w:val="el-GR"/>
              </w:rPr>
            </w:pPr>
            <w:r w:rsidRPr="00C8482E">
              <w:rPr>
                <w:rFonts w:ascii="Arial" w:hAnsi="Arial" w:cs="Arial"/>
                <w:sz w:val="28"/>
                <w:szCs w:val="28"/>
                <w:lang w:val="el-GR"/>
              </w:rPr>
              <w:t>1.</w:t>
            </w:r>
            <w:r w:rsidR="00C8482E" w:rsidRPr="00C8482E">
              <w:rPr>
                <w:rFonts w:ascii="Arial" w:eastAsia="Times New Roman" w:hAnsi="Arial" w:cs="Arial"/>
                <w:b w:val="0"/>
                <w:sz w:val="20"/>
                <w:szCs w:val="20"/>
                <w:lang w:val="el-GR" w:eastAsia="en-SG"/>
              </w:rPr>
              <w:t xml:space="preserve"> </w:t>
            </w:r>
            <w:r w:rsidR="00435DAB" w:rsidRPr="00A87CE6">
              <w:rPr>
                <w:rFonts w:ascii="Arial" w:eastAsia="Times New Roman" w:hAnsi="Arial" w:cs="Arial"/>
                <w:sz w:val="20"/>
                <w:szCs w:val="20"/>
                <w:lang w:val="el-GR" w:eastAsia="en-SG"/>
              </w:rPr>
              <w:t>ΕΠΙΣΚΕΨΗ ΥΠΟΥΡΓΟΥ ΕΞΩΤΕΡΙΚΩΝ κ. ΚΑΤΡΟΥΓΚΑΛΟΥ ΣΤΗ ΣΙΓΚΑΠΟΥΡΗ-</w:t>
            </w:r>
            <w:r w:rsidR="00435DAB" w:rsidRPr="00A87CE6">
              <w:rPr>
                <w:rFonts w:ascii="Arial" w:eastAsia="Times New Roman" w:hAnsi="Arial" w:cs="Arial"/>
                <w:sz w:val="20"/>
                <w:szCs w:val="20"/>
                <w:lang w:val="en-US" w:eastAsia="en-SG"/>
              </w:rPr>
              <w:t>BUSINESS</w:t>
            </w:r>
            <w:r w:rsidR="00435DAB" w:rsidRPr="00A87CE6">
              <w:rPr>
                <w:rFonts w:ascii="Arial" w:eastAsia="Times New Roman" w:hAnsi="Arial" w:cs="Arial"/>
                <w:sz w:val="20"/>
                <w:szCs w:val="20"/>
                <w:lang w:val="el-GR" w:eastAsia="en-SG"/>
              </w:rPr>
              <w:t xml:space="preserve"> </w:t>
            </w:r>
            <w:r w:rsidR="00435DAB" w:rsidRPr="00A87CE6">
              <w:rPr>
                <w:rFonts w:ascii="Arial" w:eastAsia="Times New Roman" w:hAnsi="Arial" w:cs="Arial"/>
                <w:sz w:val="20"/>
                <w:szCs w:val="20"/>
                <w:lang w:val="en-US" w:eastAsia="en-SG"/>
              </w:rPr>
              <w:t>FORUM</w:t>
            </w:r>
            <w:r w:rsidR="00435DAB" w:rsidRPr="00A87CE6">
              <w:rPr>
                <w:rFonts w:ascii="Arial" w:eastAsia="Times New Roman" w:hAnsi="Arial" w:cs="Arial"/>
                <w:sz w:val="20"/>
                <w:szCs w:val="20"/>
                <w:lang w:val="el-GR" w:eastAsia="en-SG"/>
              </w:rPr>
              <w:t xml:space="preserve"> </w:t>
            </w:r>
            <w:r w:rsidR="00435DAB" w:rsidRPr="00A87CE6">
              <w:rPr>
                <w:rFonts w:ascii="Arial" w:eastAsia="Times New Roman" w:hAnsi="Arial" w:cs="Arial"/>
                <w:sz w:val="20"/>
                <w:szCs w:val="20"/>
                <w:lang w:val="el-GR" w:eastAsia="el-GR"/>
              </w:rPr>
              <w:t>(29-30.5.2019)</w:t>
            </w:r>
            <w:r w:rsidR="00435DAB" w:rsidRPr="00A87CE6">
              <w:rPr>
                <w:rFonts w:ascii="Arial" w:eastAsia="Times New Roman" w:hAnsi="Arial" w:cs="Arial"/>
                <w:b w:val="0"/>
                <w:sz w:val="20"/>
                <w:szCs w:val="20"/>
                <w:lang w:val="el-GR" w:eastAsia="en-SG"/>
              </w:rPr>
              <w:t xml:space="preserve"> </w:t>
            </w:r>
            <w:r w:rsidR="00435DAB" w:rsidRPr="00A87CE6">
              <w:rPr>
                <w:rFonts w:ascii="Arial" w:hAnsi="Arial" w:cs="Arial"/>
                <w:b w:val="0"/>
                <w:sz w:val="20"/>
                <w:szCs w:val="20"/>
                <w:lang w:val="el-GR"/>
              </w:rPr>
              <w:t xml:space="preserve">Κατά τη διάρκεια της διήμερης επίσκεψής στη Σιγκαπούρη, ο κ. Υπουργός συνοδευόταν από επιχειρηματική αποστολή και φορείς της χώρας όπως: ΣΕΒ, ΣΕΒΕ και </w:t>
            </w:r>
            <w:r w:rsidR="00435DAB" w:rsidRPr="00A87CE6">
              <w:rPr>
                <w:rFonts w:ascii="Arial" w:hAnsi="Arial" w:cs="Arial"/>
                <w:b w:val="0"/>
                <w:sz w:val="20"/>
                <w:szCs w:val="20"/>
                <w:lang w:val="en-US"/>
              </w:rPr>
              <w:t>Enterprise</w:t>
            </w:r>
            <w:r w:rsidR="00435DAB" w:rsidRPr="00A87CE6">
              <w:rPr>
                <w:rFonts w:ascii="Arial" w:hAnsi="Arial" w:cs="Arial"/>
                <w:b w:val="0"/>
                <w:sz w:val="20"/>
                <w:szCs w:val="20"/>
                <w:lang w:val="el-GR"/>
              </w:rPr>
              <w:t xml:space="preserve"> </w:t>
            </w:r>
            <w:r w:rsidR="00435DAB" w:rsidRPr="00A87CE6">
              <w:rPr>
                <w:rFonts w:ascii="Arial" w:hAnsi="Arial" w:cs="Arial"/>
                <w:b w:val="0"/>
                <w:sz w:val="20"/>
                <w:szCs w:val="20"/>
                <w:lang w:val="en-US"/>
              </w:rPr>
              <w:t>Greece</w:t>
            </w:r>
            <w:r w:rsidR="00A87CE6" w:rsidRPr="00A87CE6">
              <w:rPr>
                <w:rFonts w:ascii="Arial" w:hAnsi="Arial" w:cs="Arial"/>
                <w:b w:val="0"/>
                <w:sz w:val="20"/>
                <w:szCs w:val="20"/>
                <w:lang w:val="el-GR"/>
              </w:rPr>
              <w:t xml:space="preserve">. </w:t>
            </w:r>
            <w:r w:rsidR="00435DAB" w:rsidRPr="00A87CE6">
              <w:rPr>
                <w:rFonts w:ascii="Arial" w:hAnsi="Arial" w:cs="Arial"/>
                <w:b w:val="0"/>
                <w:sz w:val="20"/>
                <w:szCs w:val="20"/>
                <w:lang w:val="el-GR"/>
              </w:rPr>
              <w:t>Το πρωί της 29</w:t>
            </w:r>
            <w:r w:rsidR="00435DAB" w:rsidRPr="00A87CE6">
              <w:rPr>
                <w:rFonts w:ascii="Arial" w:hAnsi="Arial" w:cs="Arial"/>
                <w:b w:val="0"/>
                <w:sz w:val="20"/>
                <w:szCs w:val="20"/>
                <w:vertAlign w:val="superscript"/>
                <w:lang w:val="el-GR"/>
              </w:rPr>
              <w:t>ης</w:t>
            </w:r>
            <w:r w:rsidR="00A87CE6">
              <w:rPr>
                <w:rFonts w:ascii="Arial" w:hAnsi="Arial" w:cs="Arial"/>
                <w:b w:val="0"/>
                <w:sz w:val="20"/>
                <w:szCs w:val="20"/>
                <w:lang w:val="el-GR"/>
              </w:rPr>
              <w:t xml:space="preserve"> </w:t>
            </w:r>
            <w:r w:rsidR="00435DAB" w:rsidRPr="00A87CE6">
              <w:rPr>
                <w:rFonts w:ascii="Arial" w:hAnsi="Arial" w:cs="Arial"/>
                <w:b w:val="0"/>
                <w:sz w:val="20"/>
                <w:szCs w:val="20"/>
                <w:lang w:val="el-GR"/>
              </w:rPr>
              <w:t>ο κ. Υπουργός εγκαινίασε το  Επιχειρηματικό Συνέδριο Ελλάδος-Σιγκαπούρης, το οποίο συνδιοργανώθηκε από το Γραφείο ΟΕΥ της Πρεσβείας, την Ομοσπονδία Βιομηχανιών Σιγκαπούρης (</w:t>
            </w:r>
            <w:r w:rsidR="00435DAB" w:rsidRPr="00A87CE6">
              <w:rPr>
                <w:rFonts w:ascii="Arial" w:hAnsi="Arial" w:cs="Arial"/>
                <w:b w:val="0"/>
                <w:sz w:val="20"/>
                <w:szCs w:val="20"/>
                <w:lang w:val="en-US"/>
              </w:rPr>
              <w:t>SMF</w:t>
            </w:r>
            <w:r w:rsidR="00435DAB" w:rsidRPr="00A87CE6">
              <w:rPr>
                <w:rFonts w:ascii="Arial" w:hAnsi="Arial" w:cs="Arial"/>
                <w:b w:val="0"/>
                <w:sz w:val="20"/>
                <w:szCs w:val="20"/>
                <w:lang w:val="el-GR"/>
              </w:rPr>
              <w:t>) και το ΣΕΒ.</w:t>
            </w:r>
            <w:r w:rsidR="00A87CE6" w:rsidRPr="00A87CE6">
              <w:rPr>
                <w:rFonts w:ascii="Arial" w:hAnsi="Arial" w:cs="Arial"/>
                <w:b w:val="0"/>
                <w:sz w:val="20"/>
                <w:szCs w:val="20"/>
                <w:lang w:val="el-GR"/>
              </w:rPr>
              <w:t xml:space="preserve"> </w:t>
            </w:r>
            <w:r w:rsidR="00435DAB" w:rsidRPr="00A87CE6">
              <w:rPr>
                <w:rFonts w:ascii="Arial" w:hAnsi="Arial" w:cs="Arial"/>
                <w:b w:val="0"/>
                <w:sz w:val="20"/>
                <w:szCs w:val="20"/>
                <w:lang w:val="el-GR"/>
              </w:rPr>
              <w:t>Η ελληνική αποστολή αποτελούνταν, ως επί το πλείστον από επιχειρήσεις του κλάδου τροφίμων και ποτών (ελιές ελαιόλαδο, οίνος κονσερβοποιημένα τρόφιμα, πρόσθετες αρωματικές ύλες), αλλά και βιομηχανικές επιχειρήσεις (σωλήν</w:t>
            </w:r>
            <w:r w:rsidR="00A87CE6" w:rsidRPr="00A87CE6">
              <w:rPr>
                <w:rFonts w:ascii="Arial" w:hAnsi="Arial" w:cs="Arial"/>
                <w:b w:val="0"/>
                <w:sz w:val="20"/>
                <w:szCs w:val="20"/>
                <w:lang w:val="el-GR"/>
              </w:rPr>
              <w:t>ες</w:t>
            </w:r>
            <w:r w:rsidR="00435DAB" w:rsidRPr="00A87CE6">
              <w:rPr>
                <w:rFonts w:ascii="Arial" w:hAnsi="Arial" w:cs="Arial"/>
                <w:b w:val="0"/>
                <w:sz w:val="20"/>
                <w:szCs w:val="20"/>
                <w:lang w:val="el-GR"/>
              </w:rPr>
              <w:t xml:space="preserve">, προϊόντα μεταλλουργίας, ανταλλακτικά βαρέων οχημάτων), επίσης εταιρείες καλλυντικών και προϊόντων ατομικής υγιεινής και μία εταιρεία με τουριστικό προϊόν. Από πλευράς Σιγκαπούρης εκδηλώθηκε το ενδιαφέρον εξήντα επιχειρήσεων διαφορετικών κλάδων, για γνωριμία με τις ελληνικές. Η ανεύρεση των </w:t>
            </w:r>
            <w:proofErr w:type="spellStart"/>
            <w:r w:rsidR="00435DAB" w:rsidRPr="00A87CE6">
              <w:rPr>
                <w:rFonts w:ascii="Arial" w:hAnsi="Arial" w:cs="Arial"/>
                <w:b w:val="0"/>
                <w:sz w:val="20"/>
                <w:szCs w:val="20"/>
                <w:lang w:val="el-GR"/>
              </w:rPr>
              <w:t>σιγκαπουριανών</w:t>
            </w:r>
            <w:proofErr w:type="spellEnd"/>
            <w:r w:rsidR="00435DAB" w:rsidRPr="00A87CE6">
              <w:rPr>
                <w:rFonts w:ascii="Arial" w:hAnsi="Arial" w:cs="Arial"/>
                <w:b w:val="0"/>
                <w:sz w:val="20"/>
                <w:szCs w:val="20"/>
                <w:lang w:val="el-GR"/>
              </w:rPr>
              <w:t xml:space="preserve"> επιχειρήσεων ήταν αποτέλεσμα της συνεργασίας του Γραφείου ΟΕΥ, με το ΣΕΒ και το </w:t>
            </w:r>
            <w:r w:rsidR="00435DAB" w:rsidRPr="00A87CE6">
              <w:rPr>
                <w:rFonts w:ascii="Arial" w:hAnsi="Arial" w:cs="Arial"/>
                <w:b w:val="0"/>
                <w:sz w:val="20"/>
                <w:szCs w:val="20"/>
                <w:lang w:val="en-US"/>
              </w:rPr>
              <w:t>SMF</w:t>
            </w:r>
            <w:r w:rsidR="00435DAB" w:rsidRPr="00A87CE6">
              <w:rPr>
                <w:rFonts w:ascii="Arial" w:hAnsi="Arial" w:cs="Arial"/>
                <w:b w:val="0"/>
                <w:sz w:val="20"/>
                <w:szCs w:val="20"/>
                <w:lang w:val="el-GR"/>
              </w:rPr>
              <w:t>.  Ιδιαίτερα καρποφόρες συνομιλίες υπό το φώς μίας μελλοντικής συνεργασίας, προέκυψαν στον τομέα τροφίμων και ποτών (συμπεριλαμβανομένων των πρόσθετων αρωματικών) και στον τομέα της βιομηχανίας (ανταλλακτικά βαρέων οχημάτων, προϊόντα μεταλλουργίας, σωλήνες).</w:t>
            </w:r>
            <w:r w:rsidR="00A87CE6" w:rsidRPr="00A87CE6">
              <w:rPr>
                <w:rFonts w:ascii="Arial" w:hAnsi="Arial" w:cs="Arial"/>
                <w:b w:val="0"/>
                <w:sz w:val="20"/>
                <w:szCs w:val="20"/>
                <w:lang w:val="el-GR"/>
              </w:rPr>
              <w:t xml:space="preserve"> Στις 30.5.2019, μετά </w:t>
            </w:r>
            <w:r w:rsidR="00435DAB" w:rsidRPr="00A87CE6">
              <w:rPr>
                <w:rFonts w:ascii="Arial" w:hAnsi="Arial" w:cs="Arial"/>
                <w:b w:val="0"/>
                <w:sz w:val="20"/>
                <w:szCs w:val="20"/>
                <w:lang w:val="el-GR"/>
              </w:rPr>
              <w:t>το πέρας της τελετής εγκαινίων της Πρεσβείας της Ελλάδος στη Σιγκαπούρη, ακολούθησε η υπογραφή της Διμερούς Συμφωνίας Αποφυγής</w:t>
            </w:r>
            <w:r w:rsidR="00A87CE6" w:rsidRPr="00A87CE6">
              <w:rPr>
                <w:rFonts w:ascii="Arial" w:hAnsi="Arial" w:cs="Arial"/>
                <w:b w:val="0"/>
                <w:sz w:val="20"/>
                <w:szCs w:val="20"/>
                <w:lang w:val="el-GR"/>
              </w:rPr>
              <w:t xml:space="preserve"> Διπλής Φορολογίας</w:t>
            </w:r>
            <w:r w:rsidR="00435DAB" w:rsidRPr="00A87CE6">
              <w:rPr>
                <w:rFonts w:ascii="Arial" w:hAnsi="Arial" w:cs="Arial"/>
                <w:b w:val="0"/>
                <w:sz w:val="20"/>
                <w:szCs w:val="20"/>
                <w:lang w:val="el-GR"/>
              </w:rPr>
              <w:t xml:space="preserve">, </w:t>
            </w:r>
            <w:r w:rsidR="00A87CE6" w:rsidRPr="00A87CE6">
              <w:rPr>
                <w:rFonts w:ascii="Arial" w:hAnsi="Arial" w:cs="Arial"/>
                <w:b w:val="0"/>
                <w:sz w:val="20"/>
                <w:szCs w:val="20"/>
                <w:lang w:val="el-GR"/>
              </w:rPr>
              <w:t xml:space="preserve">από τον Υπουργό Εξωτερικών κ. </w:t>
            </w:r>
            <w:proofErr w:type="spellStart"/>
            <w:r w:rsidR="00A87CE6" w:rsidRPr="00A87CE6">
              <w:rPr>
                <w:rFonts w:ascii="Arial" w:hAnsi="Arial" w:cs="Arial"/>
                <w:b w:val="0"/>
                <w:sz w:val="20"/>
                <w:szCs w:val="20"/>
                <w:lang w:val="el-GR"/>
              </w:rPr>
              <w:t>Κατρούγκαλο</w:t>
            </w:r>
            <w:proofErr w:type="spellEnd"/>
            <w:r w:rsidR="00A87CE6" w:rsidRPr="00A87CE6">
              <w:rPr>
                <w:rFonts w:ascii="Arial" w:hAnsi="Arial" w:cs="Arial"/>
                <w:b w:val="0"/>
                <w:sz w:val="20"/>
                <w:szCs w:val="20"/>
                <w:lang w:val="el-GR"/>
              </w:rPr>
              <w:t xml:space="preserve"> και τον σ/ομόλογό του, κ.  </w:t>
            </w:r>
            <w:proofErr w:type="spellStart"/>
            <w:r w:rsidR="00A87CE6" w:rsidRPr="00A87CE6">
              <w:rPr>
                <w:rFonts w:ascii="Arial" w:hAnsi="Arial" w:cs="Arial"/>
                <w:b w:val="0"/>
                <w:sz w:val="20"/>
                <w:szCs w:val="20"/>
                <w:lang w:val="en-US"/>
              </w:rPr>
              <w:t>Balakrishnan</w:t>
            </w:r>
            <w:proofErr w:type="spellEnd"/>
            <w:r w:rsidR="00435DAB" w:rsidRPr="00A87CE6">
              <w:rPr>
                <w:rFonts w:ascii="Arial" w:hAnsi="Arial" w:cs="Arial"/>
                <w:b w:val="0"/>
                <w:sz w:val="20"/>
                <w:szCs w:val="20"/>
                <w:lang w:val="el-GR"/>
              </w:rPr>
              <w:t xml:space="preserve">. </w:t>
            </w:r>
            <w:r w:rsidR="00A87CE6" w:rsidRPr="00A87CE6">
              <w:rPr>
                <w:rFonts w:ascii="Arial" w:hAnsi="Arial" w:cs="Arial"/>
                <w:sz w:val="18"/>
                <w:szCs w:val="18"/>
                <w:lang w:val="el-GR"/>
              </w:rPr>
              <w:t>ΠΗΓΗ</w:t>
            </w:r>
            <w:r w:rsidR="00A87CE6" w:rsidRPr="00A87CE6">
              <w:rPr>
                <w:rFonts w:ascii="Arial" w:hAnsi="Arial" w:cs="Arial"/>
                <w:sz w:val="18"/>
                <w:szCs w:val="18"/>
              </w:rPr>
              <w:t>:</w:t>
            </w:r>
            <w:r w:rsidR="00A87CE6" w:rsidRPr="00A87CE6">
              <w:rPr>
                <w:rFonts w:ascii="Arial" w:hAnsi="Arial" w:cs="Arial"/>
                <w:sz w:val="18"/>
                <w:szCs w:val="18"/>
                <w:lang w:val="el-GR"/>
              </w:rPr>
              <w:t xml:space="preserve"> ΓΡΑΦΕΙΟ ΟΕΥ ΣΙΓΚΑΠΟΥΡΗΣ </w:t>
            </w:r>
            <w:r w:rsidR="00A87CE6" w:rsidRPr="00A87CE6">
              <w:rPr>
                <w:rFonts w:ascii="Arial" w:hAnsi="Arial" w:cs="Arial"/>
                <w:sz w:val="18"/>
                <w:szCs w:val="18"/>
              </w:rPr>
              <w:t xml:space="preserve"> </w:t>
            </w:r>
            <w:r w:rsidR="00435DAB" w:rsidRPr="00A87CE6">
              <w:rPr>
                <w:rFonts w:ascii="Arial" w:hAnsi="Arial" w:cs="Arial"/>
                <w:sz w:val="18"/>
                <w:szCs w:val="18"/>
                <w:lang w:val="el-GR"/>
              </w:rPr>
              <w:t xml:space="preserve"> </w:t>
            </w:r>
          </w:p>
          <w:p w:rsidR="001D351B" w:rsidRPr="00737C53" w:rsidRDefault="001D351B" w:rsidP="00EE1549">
            <w:pPr>
              <w:ind w:firstLine="34"/>
              <w:jc w:val="both"/>
              <w:rPr>
                <w:rFonts w:ascii="Arial Black" w:hAnsi="Arial Black"/>
                <w:b w:val="0"/>
                <w:lang w:val="el-GR"/>
              </w:rPr>
            </w:pPr>
          </w:p>
        </w:tc>
      </w:tr>
    </w:tbl>
    <w:p w:rsidR="00821974" w:rsidRPr="00737C53" w:rsidRDefault="00821974" w:rsidP="00BA41BC">
      <w:pPr>
        <w:autoSpaceDE w:val="0"/>
        <w:autoSpaceDN w:val="0"/>
        <w:adjustRightInd w:val="0"/>
        <w:spacing w:after="0" w:line="240" w:lineRule="auto"/>
        <w:ind w:right="-1039" w:hanging="1418"/>
        <w:jc w:val="both"/>
        <w:rPr>
          <w:lang w:val="el-GR"/>
        </w:rPr>
      </w:pPr>
    </w:p>
    <w:sectPr w:rsidR="00821974" w:rsidRPr="00737C53" w:rsidSect="00641EF3">
      <w:headerReference w:type="default" r:id="rId10"/>
      <w:footerReference w:type="default" r:id="rId11"/>
      <w:pgSz w:w="11906" w:h="16838"/>
      <w:pgMar w:top="284" w:right="424"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C7" w:rsidRDefault="008D63C7" w:rsidP="007C0CF7">
      <w:pPr>
        <w:spacing w:after="0" w:line="240" w:lineRule="auto"/>
      </w:pPr>
      <w:r>
        <w:separator/>
      </w:r>
    </w:p>
  </w:endnote>
  <w:endnote w:type="continuationSeparator" w:id="0">
    <w:p w:rsidR="008D63C7" w:rsidRDefault="008D63C7" w:rsidP="007C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33" w:rsidRDefault="00C73A33" w:rsidP="00544FB3">
    <w:pPr>
      <w:tabs>
        <w:tab w:val="center" w:pos="4513"/>
        <w:tab w:val="right" w:pos="9026"/>
      </w:tabs>
      <w:spacing w:after="0" w:line="240" w:lineRule="auto"/>
      <w:contextualSpacing/>
      <w:jc w:val="center"/>
      <w:rPr>
        <w:i/>
        <w:sz w:val="20"/>
        <w:szCs w:val="20"/>
        <w:lang w:val="el-GR"/>
      </w:rPr>
    </w:pPr>
  </w:p>
  <w:p w:rsidR="00C73A33" w:rsidRDefault="00C73A33" w:rsidP="00544FB3">
    <w:pPr>
      <w:tabs>
        <w:tab w:val="center" w:pos="4513"/>
        <w:tab w:val="right" w:pos="9026"/>
      </w:tabs>
      <w:spacing w:after="0" w:line="240" w:lineRule="auto"/>
      <w:contextualSpacing/>
      <w:jc w:val="center"/>
      <w:rPr>
        <w:i/>
        <w:sz w:val="20"/>
        <w:szCs w:val="20"/>
        <w:lang w:val="el-GR"/>
      </w:rPr>
    </w:pPr>
  </w:p>
  <w:p w:rsidR="00C73A33" w:rsidRPr="00544FB3" w:rsidRDefault="00C73A33" w:rsidP="00544FB3">
    <w:pPr>
      <w:tabs>
        <w:tab w:val="center" w:pos="4513"/>
        <w:tab w:val="right" w:pos="9026"/>
      </w:tabs>
      <w:spacing w:after="0" w:line="240" w:lineRule="auto"/>
      <w:contextualSpacing/>
      <w:jc w:val="center"/>
      <w:rPr>
        <w:i/>
        <w:sz w:val="20"/>
        <w:szCs w:val="20"/>
      </w:rPr>
    </w:pPr>
    <w:r w:rsidRPr="00544FB3">
      <w:rPr>
        <w:i/>
        <w:sz w:val="20"/>
        <w:szCs w:val="20"/>
      </w:rPr>
      <w:t>Embassy of Greece in Singapore –Office for Economic and Commercial Affairs</w:t>
    </w:r>
  </w:p>
  <w:p w:rsidR="00C73A33" w:rsidRPr="00544FB3" w:rsidRDefault="00C73A33" w:rsidP="00544FB3">
    <w:pPr>
      <w:contextualSpacing/>
      <w:jc w:val="center"/>
      <w:rPr>
        <w:i/>
        <w:color w:val="000000"/>
        <w:sz w:val="20"/>
        <w:szCs w:val="20"/>
        <w:lang w:val="en-GB"/>
      </w:rPr>
    </w:pPr>
    <w:r w:rsidRPr="00544FB3">
      <w:rPr>
        <w:i/>
        <w:color w:val="000000"/>
        <w:sz w:val="20"/>
        <w:szCs w:val="20"/>
        <w:lang w:val="en-GB"/>
      </w:rPr>
      <w:t xml:space="preserve">Address: </w:t>
    </w:r>
    <w:proofErr w:type="spellStart"/>
    <w:r w:rsidRPr="00544FB3">
      <w:rPr>
        <w:i/>
        <w:color w:val="000000"/>
        <w:sz w:val="20"/>
        <w:szCs w:val="20"/>
        <w:lang w:val="en-GB"/>
      </w:rPr>
      <w:t>Goldbell</w:t>
    </w:r>
    <w:proofErr w:type="spellEnd"/>
    <w:r w:rsidRPr="00544FB3">
      <w:rPr>
        <w:i/>
        <w:color w:val="000000"/>
        <w:sz w:val="20"/>
        <w:szCs w:val="20"/>
        <w:lang w:val="en-GB"/>
      </w:rPr>
      <w:t xml:space="preserve"> </w:t>
    </w:r>
    <w:proofErr w:type="gramStart"/>
    <w:r w:rsidRPr="00544FB3">
      <w:rPr>
        <w:i/>
        <w:color w:val="000000"/>
        <w:sz w:val="20"/>
        <w:szCs w:val="20"/>
        <w:lang w:val="en-GB"/>
      </w:rPr>
      <w:t>Towers  #</w:t>
    </w:r>
    <w:proofErr w:type="gramEnd"/>
    <w:r w:rsidRPr="00544FB3">
      <w:rPr>
        <w:i/>
        <w:color w:val="000000"/>
        <w:sz w:val="20"/>
        <w:szCs w:val="20"/>
        <w:lang w:val="en-GB"/>
      </w:rPr>
      <w:t xml:space="preserve">06-03/04, 47 </w:t>
    </w:r>
    <w:proofErr w:type="spellStart"/>
    <w:r w:rsidRPr="00544FB3">
      <w:rPr>
        <w:i/>
        <w:color w:val="000000"/>
        <w:sz w:val="20"/>
        <w:szCs w:val="20"/>
        <w:lang w:val="en-GB"/>
      </w:rPr>
      <w:t>Scotts</w:t>
    </w:r>
    <w:proofErr w:type="spellEnd"/>
    <w:r w:rsidRPr="00544FB3">
      <w:rPr>
        <w:i/>
        <w:color w:val="000000"/>
        <w:sz w:val="20"/>
        <w:szCs w:val="20"/>
        <w:lang w:val="en-GB"/>
      </w:rPr>
      <w:t xml:space="preserve"> Road, Singapore 228233</w:t>
    </w:r>
  </w:p>
  <w:p w:rsidR="00C73A33" w:rsidRPr="00544FB3" w:rsidRDefault="00C73A33" w:rsidP="00544FB3">
    <w:pPr>
      <w:contextualSpacing/>
      <w:jc w:val="center"/>
      <w:rPr>
        <w:i/>
        <w:color w:val="0000FF" w:themeColor="hyperlink"/>
        <w:sz w:val="20"/>
        <w:szCs w:val="20"/>
        <w:u w:val="single"/>
      </w:rPr>
    </w:pPr>
    <w:r w:rsidRPr="00544FB3">
      <w:rPr>
        <w:i/>
        <w:color w:val="000000"/>
        <w:sz w:val="20"/>
        <w:szCs w:val="20"/>
        <w:lang w:val="en-GB"/>
      </w:rPr>
      <w:t>Tel.:</w:t>
    </w:r>
    <w:r>
      <w:rPr>
        <w:i/>
        <w:sz w:val="20"/>
        <w:szCs w:val="20"/>
      </w:rPr>
      <w:t xml:space="preserve">+65 </w:t>
    </w:r>
    <w:proofErr w:type="gramStart"/>
    <w:r>
      <w:rPr>
        <w:i/>
        <w:sz w:val="20"/>
        <w:szCs w:val="20"/>
      </w:rPr>
      <w:t>6732301</w:t>
    </w:r>
    <w:r w:rsidRPr="00A46C26">
      <w:rPr>
        <w:i/>
        <w:sz w:val="20"/>
        <w:szCs w:val="20"/>
      </w:rPr>
      <w:t>5</w:t>
    </w:r>
    <w:r w:rsidRPr="00544FB3">
      <w:rPr>
        <w:i/>
        <w:sz w:val="20"/>
        <w:szCs w:val="20"/>
      </w:rPr>
      <w:t xml:space="preserve">  Fax</w:t>
    </w:r>
    <w:proofErr w:type="gramEnd"/>
    <w:r w:rsidRPr="00544FB3">
      <w:rPr>
        <w:i/>
        <w:sz w:val="20"/>
        <w:szCs w:val="20"/>
        <w:lang w:val="en-GB"/>
      </w:rPr>
      <w:t xml:space="preserve">:  +65 67323012,  </w:t>
    </w:r>
    <w:r w:rsidRPr="00544FB3">
      <w:rPr>
        <w:i/>
        <w:sz w:val="20"/>
        <w:szCs w:val="20"/>
        <w:lang w:val="el-GR"/>
      </w:rPr>
      <w:t>Ε</w:t>
    </w:r>
    <w:r w:rsidRPr="00544FB3">
      <w:rPr>
        <w:i/>
        <w:sz w:val="20"/>
        <w:szCs w:val="20"/>
        <w:lang w:val="en-GB"/>
      </w:rPr>
      <w:t>-</w:t>
    </w:r>
    <w:r w:rsidRPr="00544FB3">
      <w:rPr>
        <w:i/>
        <w:sz w:val="20"/>
        <w:szCs w:val="20"/>
      </w:rPr>
      <w:t>mail</w:t>
    </w:r>
    <w:r w:rsidRPr="00544FB3">
      <w:rPr>
        <w:i/>
        <w:sz w:val="20"/>
        <w:szCs w:val="20"/>
        <w:lang w:val="en-GB"/>
      </w:rPr>
      <w:t xml:space="preserve">: </w:t>
    </w:r>
    <w:hyperlink r:id="rId1" w:history="1">
      <w:r w:rsidRPr="00544FB3">
        <w:rPr>
          <w:i/>
          <w:color w:val="0000FF" w:themeColor="hyperlink"/>
          <w:sz w:val="20"/>
          <w:szCs w:val="20"/>
          <w:u w:val="single"/>
        </w:rPr>
        <w:t>ecocom</w:t>
      </w:r>
      <w:r w:rsidRPr="00544FB3">
        <w:rPr>
          <w:i/>
          <w:color w:val="0000FF" w:themeColor="hyperlink"/>
          <w:sz w:val="20"/>
          <w:szCs w:val="20"/>
          <w:u w:val="single"/>
          <w:lang w:val="en-GB"/>
        </w:rPr>
        <w:t>-singapore@</w:t>
      </w:r>
      <w:r w:rsidRPr="00544FB3">
        <w:rPr>
          <w:i/>
          <w:color w:val="0000FF" w:themeColor="hyperlink"/>
          <w:sz w:val="20"/>
          <w:szCs w:val="20"/>
          <w:u w:val="single"/>
        </w:rPr>
        <w:t>mfa</w:t>
      </w:r>
      <w:r w:rsidRPr="00544FB3">
        <w:rPr>
          <w:i/>
          <w:color w:val="0000FF" w:themeColor="hyperlink"/>
          <w:sz w:val="20"/>
          <w:szCs w:val="20"/>
          <w:u w:val="single"/>
          <w:lang w:val="en-GB"/>
        </w:rPr>
        <w:t>.</w:t>
      </w:r>
      <w:r w:rsidRPr="00544FB3">
        <w:rPr>
          <w:i/>
          <w:color w:val="0000FF" w:themeColor="hyperlink"/>
          <w:sz w:val="20"/>
          <w:szCs w:val="20"/>
          <w:u w:val="single"/>
        </w:rPr>
        <w:t>gr</w:t>
      </w:r>
    </w:hyperlink>
    <w:r w:rsidRPr="00544FB3">
      <w:rPr>
        <w:i/>
        <w:color w:val="0000FF" w:themeColor="hyperlink"/>
        <w:sz w:val="20"/>
        <w:szCs w:val="20"/>
        <w:u w:val="single"/>
      </w:rPr>
      <w:t xml:space="preserve"> </w:t>
    </w:r>
    <w:r w:rsidRPr="00544FB3">
      <w:rPr>
        <w:i/>
        <w:sz w:val="20"/>
        <w:szCs w:val="20"/>
      </w:rPr>
      <w:t>Web</w:t>
    </w:r>
    <w:r w:rsidRPr="00544FB3">
      <w:rPr>
        <w:i/>
        <w:sz w:val="20"/>
        <w:szCs w:val="20"/>
        <w:lang w:val="en-GB"/>
      </w:rPr>
      <w:t>s</w:t>
    </w:r>
    <w:proofErr w:type="spellStart"/>
    <w:r w:rsidRPr="00544FB3">
      <w:rPr>
        <w:i/>
        <w:sz w:val="20"/>
        <w:szCs w:val="20"/>
      </w:rPr>
      <w:t>ite</w:t>
    </w:r>
    <w:proofErr w:type="spellEnd"/>
    <w:r w:rsidRPr="00544FB3">
      <w:rPr>
        <w:i/>
        <w:sz w:val="20"/>
        <w:szCs w:val="20"/>
        <w:lang w:val="en-GB"/>
      </w:rPr>
      <w:t xml:space="preserve">: </w:t>
    </w:r>
    <w:hyperlink r:id="rId2" w:history="1">
      <w:r w:rsidRPr="00544FB3">
        <w:rPr>
          <w:i/>
          <w:color w:val="0000FF" w:themeColor="hyperlink"/>
          <w:sz w:val="20"/>
          <w:szCs w:val="20"/>
          <w:u w:val="single"/>
        </w:rPr>
        <w:t>http</w:t>
      </w:r>
      <w:r w:rsidRPr="00544FB3">
        <w:rPr>
          <w:i/>
          <w:color w:val="0000FF" w:themeColor="hyperlink"/>
          <w:sz w:val="20"/>
          <w:szCs w:val="20"/>
          <w:u w:val="single"/>
          <w:lang w:val="en-GB"/>
        </w:rPr>
        <w:t>://</w:t>
      </w:r>
      <w:r w:rsidRPr="00544FB3">
        <w:rPr>
          <w:i/>
          <w:color w:val="0000FF" w:themeColor="hyperlink"/>
          <w:sz w:val="20"/>
          <w:szCs w:val="20"/>
          <w:u w:val="single"/>
        </w:rPr>
        <w:t>agora</w:t>
      </w:r>
      <w:r w:rsidRPr="00544FB3">
        <w:rPr>
          <w:i/>
          <w:color w:val="0000FF" w:themeColor="hyperlink"/>
          <w:sz w:val="20"/>
          <w:szCs w:val="20"/>
          <w:u w:val="single"/>
          <w:lang w:val="en-GB"/>
        </w:rPr>
        <w:t>.</w:t>
      </w:r>
      <w:proofErr w:type="spellStart"/>
      <w:r w:rsidRPr="00544FB3">
        <w:rPr>
          <w:i/>
          <w:color w:val="0000FF" w:themeColor="hyperlink"/>
          <w:sz w:val="20"/>
          <w:szCs w:val="20"/>
          <w:u w:val="single"/>
        </w:rPr>
        <w:t>mfa</w:t>
      </w:r>
      <w:proofErr w:type="spellEnd"/>
      <w:r w:rsidRPr="00544FB3">
        <w:rPr>
          <w:i/>
          <w:color w:val="0000FF" w:themeColor="hyperlink"/>
          <w:sz w:val="20"/>
          <w:szCs w:val="20"/>
          <w:u w:val="single"/>
          <w:lang w:val="en-GB"/>
        </w:rPr>
        <w:t>.</w:t>
      </w:r>
      <w:r w:rsidRPr="00544FB3">
        <w:rPr>
          <w:i/>
          <w:color w:val="0000FF" w:themeColor="hyperlink"/>
          <w:sz w:val="20"/>
          <w:szCs w:val="20"/>
          <w:u w:val="single"/>
        </w:rPr>
        <w:t>gr</w:t>
      </w:r>
      <w:r w:rsidRPr="00544FB3">
        <w:rPr>
          <w:i/>
          <w:color w:val="0000FF" w:themeColor="hyperlink"/>
          <w:sz w:val="20"/>
          <w:szCs w:val="20"/>
          <w:u w:val="single"/>
          <w:lang w:val="en-GB"/>
        </w:rPr>
        <w:t>/</w:t>
      </w:r>
    </w:hyperlink>
  </w:p>
  <w:p w:rsidR="00C73A33" w:rsidRDefault="00C73A33">
    <w:pPr>
      <w:pStyle w:val="Footer"/>
    </w:pPr>
    <w:r w:rsidRPr="00544FB3">
      <w:rPr>
        <w:sz w:val="20"/>
        <w:szCs w:val="20"/>
        <w14:shadow w14:blurRad="50800" w14:dist="38100" w14:dir="2700000" w14:sx="100000" w14:sy="100000" w14:kx="0" w14:ky="0" w14:algn="tl">
          <w14:srgbClr w14:val="000000">
            <w14:alpha w14:val="60000"/>
          </w14:srgbClr>
        </w14:shadow>
        <w14:numForm w14:val="oldStyle"/>
      </w:rPr>
      <w:ptab w:relativeTo="margin" w:alignment="center" w:leader="none"/>
    </w:r>
    <w:r w:rsidRPr="00544FB3">
      <w:rPr>
        <w:sz w:val="20"/>
        <w:szCs w:val="20"/>
        <w14:shadow w14:blurRad="50800" w14:dist="38100" w14:dir="2700000" w14:sx="100000" w14:sy="100000" w14:kx="0" w14:ky="0" w14:algn="tl">
          <w14:srgbClr w14:val="000000">
            <w14:alpha w14:val="60000"/>
          </w14:srgbClr>
        </w14:shadow>
        <w14:numForm w14:val="oldStyle"/>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C7" w:rsidRDefault="008D63C7" w:rsidP="007C0CF7">
      <w:pPr>
        <w:spacing w:after="0" w:line="240" w:lineRule="auto"/>
      </w:pPr>
      <w:r>
        <w:separator/>
      </w:r>
    </w:p>
  </w:footnote>
  <w:footnote w:type="continuationSeparator" w:id="0">
    <w:p w:rsidR="008D63C7" w:rsidRDefault="008D63C7" w:rsidP="007C0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91243"/>
      <w:docPartObj>
        <w:docPartGallery w:val="Page Numbers (Top of Page)"/>
        <w:docPartUnique/>
      </w:docPartObj>
    </w:sdtPr>
    <w:sdtEndPr>
      <w:rPr>
        <w:noProof/>
      </w:rPr>
    </w:sdtEndPr>
    <w:sdtContent>
      <w:p w:rsidR="00C73A33" w:rsidRDefault="00C73A33">
        <w:pPr>
          <w:pStyle w:val="Header"/>
          <w:jc w:val="right"/>
        </w:pPr>
        <w:r>
          <w:fldChar w:fldCharType="begin"/>
        </w:r>
        <w:r>
          <w:instrText xml:space="preserve"> PAGE   \* MERGEFORMAT </w:instrText>
        </w:r>
        <w:r>
          <w:fldChar w:fldCharType="separate"/>
        </w:r>
        <w:r w:rsidR="00147656">
          <w:rPr>
            <w:noProof/>
          </w:rPr>
          <w:t>3</w:t>
        </w:r>
        <w:r>
          <w:rPr>
            <w:noProof/>
          </w:rPr>
          <w:fldChar w:fldCharType="end"/>
        </w:r>
      </w:p>
    </w:sdtContent>
  </w:sdt>
  <w:p w:rsidR="00C73A33" w:rsidRDefault="00C73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36C1A"/>
    <w:multiLevelType w:val="hybridMultilevel"/>
    <w:tmpl w:val="9266D34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551B3016"/>
    <w:multiLevelType w:val="hybridMultilevel"/>
    <w:tmpl w:val="3FA28D5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57105625"/>
    <w:multiLevelType w:val="hybridMultilevel"/>
    <w:tmpl w:val="9D8208E6"/>
    <w:lvl w:ilvl="0" w:tplc="6B785064">
      <w:start w:val="1"/>
      <w:numFmt w:val="decimal"/>
      <w:lvlText w:val="%1."/>
      <w:lvlJc w:val="left"/>
      <w:pPr>
        <w:ind w:left="720" w:hanging="360"/>
      </w:pPr>
      <w:rPr>
        <w:rFonts w:asciiTheme="minorHAnsi" w:eastAsiaTheme="minorHAnsi" w:hAnsiTheme="minorHAnsi" w:cstheme="minorBidi" w:hint="default"/>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66"/>
    <w:rsid w:val="00012908"/>
    <w:rsid w:val="000156AE"/>
    <w:rsid w:val="00022563"/>
    <w:rsid w:val="0002540E"/>
    <w:rsid w:val="00025970"/>
    <w:rsid w:val="0003504D"/>
    <w:rsid w:val="000413CD"/>
    <w:rsid w:val="000433E2"/>
    <w:rsid w:val="000437B4"/>
    <w:rsid w:val="00045F9B"/>
    <w:rsid w:val="00055E1E"/>
    <w:rsid w:val="00060376"/>
    <w:rsid w:val="00094E60"/>
    <w:rsid w:val="000956F5"/>
    <w:rsid w:val="00096E23"/>
    <w:rsid w:val="0009767C"/>
    <w:rsid w:val="000A54C7"/>
    <w:rsid w:val="000B0521"/>
    <w:rsid w:val="000B5CAC"/>
    <w:rsid w:val="000C07B5"/>
    <w:rsid w:val="000F530F"/>
    <w:rsid w:val="00103F7D"/>
    <w:rsid w:val="00105636"/>
    <w:rsid w:val="00116536"/>
    <w:rsid w:val="00116D43"/>
    <w:rsid w:val="00144603"/>
    <w:rsid w:val="00147656"/>
    <w:rsid w:val="001538AE"/>
    <w:rsid w:val="00170F84"/>
    <w:rsid w:val="00183271"/>
    <w:rsid w:val="00192546"/>
    <w:rsid w:val="001A3BD2"/>
    <w:rsid w:val="001A7F81"/>
    <w:rsid w:val="001B13E6"/>
    <w:rsid w:val="001D351B"/>
    <w:rsid w:val="001E2DCF"/>
    <w:rsid w:val="001E5BF4"/>
    <w:rsid w:val="00201889"/>
    <w:rsid w:val="002040D0"/>
    <w:rsid w:val="00211319"/>
    <w:rsid w:val="00213DFB"/>
    <w:rsid w:val="00215C3A"/>
    <w:rsid w:val="002167DF"/>
    <w:rsid w:val="00235833"/>
    <w:rsid w:val="00273B92"/>
    <w:rsid w:val="00293416"/>
    <w:rsid w:val="002A12B2"/>
    <w:rsid w:val="002B7FFC"/>
    <w:rsid w:val="002C7B8F"/>
    <w:rsid w:val="002E5678"/>
    <w:rsid w:val="002E7FA7"/>
    <w:rsid w:val="002F7EB2"/>
    <w:rsid w:val="003017E6"/>
    <w:rsid w:val="00330967"/>
    <w:rsid w:val="00330EB8"/>
    <w:rsid w:val="0033511C"/>
    <w:rsid w:val="00341ABA"/>
    <w:rsid w:val="00341F43"/>
    <w:rsid w:val="00343B3A"/>
    <w:rsid w:val="0034452A"/>
    <w:rsid w:val="003542B0"/>
    <w:rsid w:val="00373B91"/>
    <w:rsid w:val="003818E6"/>
    <w:rsid w:val="003B10DA"/>
    <w:rsid w:val="003C036E"/>
    <w:rsid w:val="003C0F06"/>
    <w:rsid w:val="003D3988"/>
    <w:rsid w:val="003E3C3D"/>
    <w:rsid w:val="00404793"/>
    <w:rsid w:val="00412088"/>
    <w:rsid w:val="0043014E"/>
    <w:rsid w:val="00435DAB"/>
    <w:rsid w:val="00446D40"/>
    <w:rsid w:val="00452209"/>
    <w:rsid w:val="004557AD"/>
    <w:rsid w:val="00456238"/>
    <w:rsid w:val="0046764C"/>
    <w:rsid w:val="00470361"/>
    <w:rsid w:val="004704A6"/>
    <w:rsid w:val="004768C7"/>
    <w:rsid w:val="00482E1B"/>
    <w:rsid w:val="004927BB"/>
    <w:rsid w:val="004973B9"/>
    <w:rsid w:val="004A5BF9"/>
    <w:rsid w:val="004B3440"/>
    <w:rsid w:val="004B7866"/>
    <w:rsid w:val="004C04BD"/>
    <w:rsid w:val="004F01B4"/>
    <w:rsid w:val="005053D5"/>
    <w:rsid w:val="00510FDA"/>
    <w:rsid w:val="0051538B"/>
    <w:rsid w:val="00522689"/>
    <w:rsid w:val="00532457"/>
    <w:rsid w:val="00544FB3"/>
    <w:rsid w:val="005536FE"/>
    <w:rsid w:val="005541F1"/>
    <w:rsid w:val="00560D4C"/>
    <w:rsid w:val="0056284F"/>
    <w:rsid w:val="005662B5"/>
    <w:rsid w:val="00567ED9"/>
    <w:rsid w:val="00567EDF"/>
    <w:rsid w:val="005738F1"/>
    <w:rsid w:val="00575992"/>
    <w:rsid w:val="00583237"/>
    <w:rsid w:val="005A2E6D"/>
    <w:rsid w:val="005A469B"/>
    <w:rsid w:val="005A5A7F"/>
    <w:rsid w:val="005C4C0C"/>
    <w:rsid w:val="005D1518"/>
    <w:rsid w:val="005D4BB0"/>
    <w:rsid w:val="005D5FF7"/>
    <w:rsid w:val="005E35F4"/>
    <w:rsid w:val="005E3DF4"/>
    <w:rsid w:val="005E69DE"/>
    <w:rsid w:val="005F0CE0"/>
    <w:rsid w:val="00600208"/>
    <w:rsid w:val="00600B7B"/>
    <w:rsid w:val="00601199"/>
    <w:rsid w:val="006041D4"/>
    <w:rsid w:val="00613707"/>
    <w:rsid w:val="0061422D"/>
    <w:rsid w:val="00630CFE"/>
    <w:rsid w:val="00641EF3"/>
    <w:rsid w:val="0064370A"/>
    <w:rsid w:val="00644F3C"/>
    <w:rsid w:val="00650F80"/>
    <w:rsid w:val="00667109"/>
    <w:rsid w:val="006A0793"/>
    <w:rsid w:val="006B2E92"/>
    <w:rsid w:val="006B7AD8"/>
    <w:rsid w:val="006C32EE"/>
    <w:rsid w:val="006E14DE"/>
    <w:rsid w:val="006E5513"/>
    <w:rsid w:val="00703172"/>
    <w:rsid w:val="007037E4"/>
    <w:rsid w:val="007050F8"/>
    <w:rsid w:val="00710223"/>
    <w:rsid w:val="007111B5"/>
    <w:rsid w:val="00730A68"/>
    <w:rsid w:val="00735080"/>
    <w:rsid w:val="00737C53"/>
    <w:rsid w:val="00741362"/>
    <w:rsid w:val="00750F6E"/>
    <w:rsid w:val="0075150C"/>
    <w:rsid w:val="0075513E"/>
    <w:rsid w:val="00774DCD"/>
    <w:rsid w:val="007764DC"/>
    <w:rsid w:val="007A17EC"/>
    <w:rsid w:val="007B420D"/>
    <w:rsid w:val="007C0CF7"/>
    <w:rsid w:val="007C194B"/>
    <w:rsid w:val="007D21E5"/>
    <w:rsid w:val="007D2C49"/>
    <w:rsid w:val="007E208C"/>
    <w:rsid w:val="00806ED0"/>
    <w:rsid w:val="0081015B"/>
    <w:rsid w:val="00821974"/>
    <w:rsid w:val="00821D1A"/>
    <w:rsid w:val="00825272"/>
    <w:rsid w:val="00852FC8"/>
    <w:rsid w:val="00853206"/>
    <w:rsid w:val="00867DF5"/>
    <w:rsid w:val="0087131D"/>
    <w:rsid w:val="008850F9"/>
    <w:rsid w:val="008911FD"/>
    <w:rsid w:val="008B3CE0"/>
    <w:rsid w:val="008C616A"/>
    <w:rsid w:val="008D63C7"/>
    <w:rsid w:val="008D6AE3"/>
    <w:rsid w:val="008E7652"/>
    <w:rsid w:val="008F4E4F"/>
    <w:rsid w:val="008F5F32"/>
    <w:rsid w:val="009035C8"/>
    <w:rsid w:val="00904BB0"/>
    <w:rsid w:val="00912125"/>
    <w:rsid w:val="00917AD5"/>
    <w:rsid w:val="0092158E"/>
    <w:rsid w:val="00932862"/>
    <w:rsid w:val="009417DA"/>
    <w:rsid w:val="0094379B"/>
    <w:rsid w:val="00943D49"/>
    <w:rsid w:val="00954868"/>
    <w:rsid w:val="009659D8"/>
    <w:rsid w:val="009873E5"/>
    <w:rsid w:val="009A0D98"/>
    <w:rsid w:val="009A1C97"/>
    <w:rsid w:val="009A4C3D"/>
    <w:rsid w:val="009B003C"/>
    <w:rsid w:val="009B6943"/>
    <w:rsid w:val="009C2C94"/>
    <w:rsid w:val="009C438E"/>
    <w:rsid w:val="009C4873"/>
    <w:rsid w:val="009E4DC9"/>
    <w:rsid w:val="009E597F"/>
    <w:rsid w:val="009F354C"/>
    <w:rsid w:val="009F3DA6"/>
    <w:rsid w:val="00A02291"/>
    <w:rsid w:val="00A11C49"/>
    <w:rsid w:val="00A12C2A"/>
    <w:rsid w:val="00A2316F"/>
    <w:rsid w:val="00A238E4"/>
    <w:rsid w:val="00A40E91"/>
    <w:rsid w:val="00A46C26"/>
    <w:rsid w:val="00A650B9"/>
    <w:rsid w:val="00A65426"/>
    <w:rsid w:val="00A660E4"/>
    <w:rsid w:val="00A75143"/>
    <w:rsid w:val="00A87CE6"/>
    <w:rsid w:val="00AA554B"/>
    <w:rsid w:val="00AB22A0"/>
    <w:rsid w:val="00AB43AC"/>
    <w:rsid w:val="00AD3468"/>
    <w:rsid w:val="00AE5440"/>
    <w:rsid w:val="00AF0DF1"/>
    <w:rsid w:val="00B00310"/>
    <w:rsid w:val="00B00B92"/>
    <w:rsid w:val="00B05E43"/>
    <w:rsid w:val="00B070EA"/>
    <w:rsid w:val="00B10494"/>
    <w:rsid w:val="00B14312"/>
    <w:rsid w:val="00B20E7B"/>
    <w:rsid w:val="00B247DD"/>
    <w:rsid w:val="00B6030A"/>
    <w:rsid w:val="00B6064C"/>
    <w:rsid w:val="00B6539E"/>
    <w:rsid w:val="00B707B6"/>
    <w:rsid w:val="00B80FA9"/>
    <w:rsid w:val="00B84CF9"/>
    <w:rsid w:val="00BA41BC"/>
    <w:rsid w:val="00BB16AF"/>
    <w:rsid w:val="00BC0ADD"/>
    <w:rsid w:val="00BD441D"/>
    <w:rsid w:val="00BE47D0"/>
    <w:rsid w:val="00BE6247"/>
    <w:rsid w:val="00BF25DD"/>
    <w:rsid w:val="00BF4569"/>
    <w:rsid w:val="00C0513F"/>
    <w:rsid w:val="00C0725D"/>
    <w:rsid w:val="00C1136C"/>
    <w:rsid w:val="00C30788"/>
    <w:rsid w:val="00C33288"/>
    <w:rsid w:val="00C4634C"/>
    <w:rsid w:val="00C57EDD"/>
    <w:rsid w:val="00C6080A"/>
    <w:rsid w:val="00C73A33"/>
    <w:rsid w:val="00C8482E"/>
    <w:rsid w:val="00CB2010"/>
    <w:rsid w:val="00CF29D6"/>
    <w:rsid w:val="00D1047C"/>
    <w:rsid w:val="00D13E8D"/>
    <w:rsid w:val="00D14B58"/>
    <w:rsid w:val="00D44155"/>
    <w:rsid w:val="00D51263"/>
    <w:rsid w:val="00D55F99"/>
    <w:rsid w:val="00D5789F"/>
    <w:rsid w:val="00D57919"/>
    <w:rsid w:val="00D81A91"/>
    <w:rsid w:val="00D83033"/>
    <w:rsid w:val="00D973B6"/>
    <w:rsid w:val="00DA6460"/>
    <w:rsid w:val="00DA6A35"/>
    <w:rsid w:val="00DE2209"/>
    <w:rsid w:val="00DE4893"/>
    <w:rsid w:val="00DF0E59"/>
    <w:rsid w:val="00DF4456"/>
    <w:rsid w:val="00E36C39"/>
    <w:rsid w:val="00E461BF"/>
    <w:rsid w:val="00E511CA"/>
    <w:rsid w:val="00E55152"/>
    <w:rsid w:val="00E670A6"/>
    <w:rsid w:val="00E67923"/>
    <w:rsid w:val="00E81AF6"/>
    <w:rsid w:val="00E8426D"/>
    <w:rsid w:val="00EA2EC5"/>
    <w:rsid w:val="00EB081B"/>
    <w:rsid w:val="00EB10EF"/>
    <w:rsid w:val="00EB160C"/>
    <w:rsid w:val="00EB3926"/>
    <w:rsid w:val="00EC0324"/>
    <w:rsid w:val="00EC2888"/>
    <w:rsid w:val="00EC34DD"/>
    <w:rsid w:val="00EE1549"/>
    <w:rsid w:val="00EE21B3"/>
    <w:rsid w:val="00EE447E"/>
    <w:rsid w:val="00EF0794"/>
    <w:rsid w:val="00EF5705"/>
    <w:rsid w:val="00F229F7"/>
    <w:rsid w:val="00F30332"/>
    <w:rsid w:val="00F359A5"/>
    <w:rsid w:val="00F405E7"/>
    <w:rsid w:val="00F45294"/>
    <w:rsid w:val="00F47D13"/>
    <w:rsid w:val="00F55764"/>
    <w:rsid w:val="00F71527"/>
    <w:rsid w:val="00F746EE"/>
    <w:rsid w:val="00F77F30"/>
    <w:rsid w:val="00FA01C1"/>
    <w:rsid w:val="00FA14C3"/>
    <w:rsid w:val="00FC255B"/>
    <w:rsid w:val="00FC3CC8"/>
    <w:rsid w:val="00FF31F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36E"/>
    <w:rPr>
      <w:rFonts w:ascii="Tahoma" w:hAnsi="Tahoma" w:cs="Tahoma"/>
      <w:sz w:val="16"/>
      <w:szCs w:val="16"/>
    </w:rPr>
  </w:style>
  <w:style w:type="table" w:styleId="MediumShading1-Accent4">
    <w:name w:val="Medium Shading 1 Accent 4"/>
    <w:basedOn w:val="TableNormal"/>
    <w:uiPriority w:val="63"/>
    <w:rsid w:val="003C036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644F3C"/>
    <w:pPr>
      <w:spacing w:after="0" w:line="240" w:lineRule="auto"/>
      <w:ind w:left="720"/>
      <w:contextualSpacing/>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7C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F7"/>
  </w:style>
  <w:style w:type="paragraph" w:styleId="Footer">
    <w:name w:val="footer"/>
    <w:basedOn w:val="Normal"/>
    <w:link w:val="FooterChar"/>
    <w:uiPriority w:val="99"/>
    <w:unhideWhenUsed/>
    <w:rsid w:val="007C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F7"/>
  </w:style>
  <w:style w:type="character" w:styleId="Hyperlink">
    <w:name w:val="Hyperlink"/>
    <w:basedOn w:val="DefaultParagraphFont"/>
    <w:uiPriority w:val="99"/>
    <w:unhideWhenUsed/>
    <w:rsid w:val="007037E4"/>
    <w:rPr>
      <w:color w:val="0000FF" w:themeColor="hyperlink"/>
      <w:u w:val="single"/>
    </w:rPr>
  </w:style>
  <w:style w:type="paragraph" w:styleId="FootnoteText">
    <w:name w:val="footnote text"/>
    <w:basedOn w:val="Normal"/>
    <w:link w:val="FootnoteTextChar"/>
    <w:uiPriority w:val="99"/>
    <w:semiHidden/>
    <w:unhideWhenUsed/>
    <w:rsid w:val="007037E4"/>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7037E4"/>
    <w:rPr>
      <w:sz w:val="20"/>
      <w:szCs w:val="20"/>
      <w:lang w:val="fr-FR"/>
    </w:rPr>
  </w:style>
  <w:style w:type="character" w:styleId="FootnoteReference">
    <w:name w:val="footnote reference"/>
    <w:basedOn w:val="DefaultParagraphFont"/>
    <w:uiPriority w:val="99"/>
    <w:semiHidden/>
    <w:unhideWhenUsed/>
    <w:rsid w:val="007037E4"/>
    <w:rPr>
      <w:vertAlign w:val="superscript"/>
    </w:rPr>
  </w:style>
  <w:style w:type="character" w:customStyle="1" w:styleId="Heading1Char">
    <w:name w:val="Heading 1 Char"/>
    <w:basedOn w:val="DefaultParagraphFont"/>
    <w:link w:val="Heading1"/>
    <w:uiPriority w:val="9"/>
    <w:rsid w:val="00373B9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3B91"/>
    <w:pPr>
      <w:outlineLvl w:val="9"/>
    </w:pPr>
    <w:rPr>
      <w:lang w:val="en-US" w:eastAsia="ja-JP"/>
    </w:rPr>
  </w:style>
  <w:style w:type="paragraph" w:styleId="EndnoteText">
    <w:name w:val="endnote text"/>
    <w:basedOn w:val="Normal"/>
    <w:link w:val="EndnoteTextChar"/>
    <w:uiPriority w:val="99"/>
    <w:semiHidden/>
    <w:unhideWhenUsed/>
    <w:rsid w:val="00B707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07B6"/>
    <w:rPr>
      <w:sz w:val="20"/>
      <w:szCs w:val="20"/>
    </w:rPr>
  </w:style>
  <w:style w:type="character" w:styleId="EndnoteReference">
    <w:name w:val="endnote reference"/>
    <w:basedOn w:val="DefaultParagraphFont"/>
    <w:uiPriority w:val="99"/>
    <w:semiHidden/>
    <w:unhideWhenUsed/>
    <w:rsid w:val="00B707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36E"/>
    <w:rPr>
      <w:rFonts w:ascii="Tahoma" w:hAnsi="Tahoma" w:cs="Tahoma"/>
      <w:sz w:val="16"/>
      <w:szCs w:val="16"/>
    </w:rPr>
  </w:style>
  <w:style w:type="table" w:styleId="MediumShading1-Accent4">
    <w:name w:val="Medium Shading 1 Accent 4"/>
    <w:basedOn w:val="TableNormal"/>
    <w:uiPriority w:val="63"/>
    <w:rsid w:val="003C036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644F3C"/>
    <w:pPr>
      <w:spacing w:after="0" w:line="240" w:lineRule="auto"/>
      <w:ind w:left="720"/>
      <w:contextualSpacing/>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7C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CF7"/>
  </w:style>
  <w:style w:type="paragraph" w:styleId="Footer">
    <w:name w:val="footer"/>
    <w:basedOn w:val="Normal"/>
    <w:link w:val="FooterChar"/>
    <w:uiPriority w:val="99"/>
    <w:unhideWhenUsed/>
    <w:rsid w:val="007C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CF7"/>
  </w:style>
  <w:style w:type="character" w:styleId="Hyperlink">
    <w:name w:val="Hyperlink"/>
    <w:basedOn w:val="DefaultParagraphFont"/>
    <w:uiPriority w:val="99"/>
    <w:unhideWhenUsed/>
    <w:rsid w:val="007037E4"/>
    <w:rPr>
      <w:color w:val="0000FF" w:themeColor="hyperlink"/>
      <w:u w:val="single"/>
    </w:rPr>
  </w:style>
  <w:style w:type="paragraph" w:styleId="FootnoteText">
    <w:name w:val="footnote text"/>
    <w:basedOn w:val="Normal"/>
    <w:link w:val="FootnoteTextChar"/>
    <w:uiPriority w:val="99"/>
    <w:semiHidden/>
    <w:unhideWhenUsed/>
    <w:rsid w:val="007037E4"/>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7037E4"/>
    <w:rPr>
      <w:sz w:val="20"/>
      <w:szCs w:val="20"/>
      <w:lang w:val="fr-FR"/>
    </w:rPr>
  </w:style>
  <w:style w:type="character" w:styleId="FootnoteReference">
    <w:name w:val="footnote reference"/>
    <w:basedOn w:val="DefaultParagraphFont"/>
    <w:uiPriority w:val="99"/>
    <w:semiHidden/>
    <w:unhideWhenUsed/>
    <w:rsid w:val="007037E4"/>
    <w:rPr>
      <w:vertAlign w:val="superscript"/>
    </w:rPr>
  </w:style>
  <w:style w:type="character" w:customStyle="1" w:styleId="Heading1Char">
    <w:name w:val="Heading 1 Char"/>
    <w:basedOn w:val="DefaultParagraphFont"/>
    <w:link w:val="Heading1"/>
    <w:uiPriority w:val="9"/>
    <w:rsid w:val="00373B9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3B91"/>
    <w:pPr>
      <w:outlineLvl w:val="9"/>
    </w:pPr>
    <w:rPr>
      <w:lang w:val="en-US" w:eastAsia="ja-JP"/>
    </w:rPr>
  </w:style>
  <w:style w:type="paragraph" w:styleId="EndnoteText">
    <w:name w:val="endnote text"/>
    <w:basedOn w:val="Normal"/>
    <w:link w:val="EndnoteTextChar"/>
    <w:uiPriority w:val="99"/>
    <w:semiHidden/>
    <w:unhideWhenUsed/>
    <w:rsid w:val="00B707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07B6"/>
    <w:rPr>
      <w:sz w:val="20"/>
      <w:szCs w:val="20"/>
    </w:rPr>
  </w:style>
  <w:style w:type="character" w:styleId="EndnoteReference">
    <w:name w:val="endnote reference"/>
    <w:basedOn w:val="DefaultParagraphFont"/>
    <w:uiPriority w:val="99"/>
    <w:semiHidden/>
    <w:unhideWhenUsed/>
    <w:rsid w:val="00B70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230">
      <w:bodyDiv w:val="1"/>
      <w:marLeft w:val="0"/>
      <w:marRight w:val="0"/>
      <w:marTop w:val="0"/>
      <w:marBottom w:val="0"/>
      <w:divBdr>
        <w:top w:val="none" w:sz="0" w:space="0" w:color="auto"/>
        <w:left w:val="none" w:sz="0" w:space="0" w:color="auto"/>
        <w:bottom w:val="none" w:sz="0" w:space="0" w:color="auto"/>
        <w:right w:val="none" w:sz="0" w:space="0" w:color="auto"/>
      </w:divBdr>
    </w:div>
    <w:div w:id="12527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agora.mfa.gr/" TargetMode="External"/><Relationship Id="rId1" Type="http://schemas.openxmlformats.org/officeDocument/2006/relationships/hyperlink" Target="mailto:ecocom-singapore@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129D-52BE-465B-927F-96243194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2550</Words>
  <Characters>15969</Characters>
  <Application>Microsoft Office Word</Application>
  <DocSecurity>0</DocSecurity>
  <Lines>840</Lines>
  <Paragraphs>377</Paragraphs>
  <ScaleCrop>false</ScaleCrop>
  <HeadingPairs>
    <vt:vector size="2" baseType="variant">
      <vt:variant>
        <vt:lpstr>Title</vt:lpstr>
      </vt:variant>
      <vt:variant>
        <vt:i4>1</vt:i4>
      </vt:variant>
    </vt:vector>
  </HeadingPairs>
  <TitlesOfParts>
    <vt:vector size="1" baseType="lpstr">
      <vt:lpstr>ΔΕΛΤΙΟ ΟΙΚΟΝΟΜΙΚΩΝ ΕΙΔΗΣΕΩΝ ΣΙΓΚΑΠΟΥΡΗΣ                                    ΑΥΓΟΥΣΤΟΥ – ΣΕΠΤΕΜΒΡΙΟΥ 2018</vt:lpstr>
    </vt:vector>
  </TitlesOfParts>
  <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ΟΙΚΟΝΟΜΙΚΩΝ ΕΙΔΗΣΕΩΝ ΣΙΓΚΑΠΟΥΡΗΣ                                    ΑΥΓΟΥΣΤΟΥ – ΣΕΠΤΕΜΒΡΙΟΥ 2018</dc:title>
  <dc:creator>user5</dc:creator>
  <cp:lastModifiedBy>user5</cp:lastModifiedBy>
  <cp:revision>11</cp:revision>
  <cp:lastPrinted>2019-05-15T05:28:00Z</cp:lastPrinted>
  <dcterms:created xsi:type="dcterms:W3CDTF">2019-06-22T04:07:00Z</dcterms:created>
  <dcterms:modified xsi:type="dcterms:W3CDTF">2019-06-25T05:33:00Z</dcterms:modified>
</cp:coreProperties>
</file>