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07" w:rsidRDefault="000A2184" w:rsidP="00263C7E">
      <w:pPr>
        <w:pStyle w:val="s5"/>
        <w:spacing w:before="0" w:beforeAutospacing="0" w:after="0" w:afterAutospacing="0"/>
        <w:jc w:val="center"/>
        <w:rPr>
          <w:rStyle w:val="s8"/>
          <w:b/>
          <w:bCs/>
          <w:lang w:val="en-US"/>
        </w:rPr>
      </w:pPr>
      <w:r w:rsidRPr="00727D28">
        <w:rPr>
          <w:b/>
          <w:bCs/>
          <w:noProof/>
        </w:rPr>
        <w:drawing>
          <wp:inline distT="0" distB="0" distL="0" distR="0">
            <wp:extent cx="3028950" cy="704850"/>
            <wp:effectExtent l="19050" t="0" r="0" b="0"/>
            <wp:docPr id="4" name="Εικόνα 4" descr="C:\Users\kliok\Desktop\TEL-logo-esee-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iok\Desktop\TEL-logo-esee-01 (2).jpg"/>
                    <pic:cNvPicPr>
                      <a:picLocks noChangeAspect="1" noChangeArrowheads="1"/>
                    </pic:cNvPicPr>
                  </pic:nvPicPr>
                  <pic:blipFill>
                    <a:blip r:embed="rId8" cstate="print"/>
                    <a:srcRect/>
                    <a:stretch>
                      <a:fillRect/>
                    </a:stretch>
                  </pic:blipFill>
                  <pic:spPr bwMode="auto">
                    <a:xfrm>
                      <a:off x="0" y="0"/>
                      <a:ext cx="3028950" cy="704850"/>
                    </a:xfrm>
                    <a:prstGeom prst="rect">
                      <a:avLst/>
                    </a:prstGeom>
                    <a:noFill/>
                    <a:ln w="9525">
                      <a:noFill/>
                      <a:miter lim="800000"/>
                      <a:headEnd/>
                      <a:tailEnd/>
                    </a:ln>
                  </pic:spPr>
                </pic:pic>
              </a:graphicData>
            </a:graphic>
          </wp:inline>
        </w:drawing>
      </w:r>
    </w:p>
    <w:p w:rsidR="004B1639" w:rsidRDefault="004B1639" w:rsidP="004B1639">
      <w:pPr>
        <w:pStyle w:val="s4"/>
        <w:spacing w:before="0" w:beforeAutospacing="0" w:after="0" w:afterAutospacing="0"/>
        <w:rPr>
          <w:rStyle w:val="s3"/>
          <w:b/>
          <w:bCs/>
        </w:rPr>
      </w:pPr>
    </w:p>
    <w:p w:rsidR="004B158C" w:rsidRPr="004B158C" w:rsidRDefault="004B158C" w:rsidP="004B158C">
      <w:pPr>
        <w:spacing w:after="0" w:line="360" w:lineRule="auto"/>
        <w:jc w:val="both"/>
        <w:rPr>
          <w:rFonts w:ascii="Times New Roman" w:hAnsi="Times New Roman" w:cs="Times New Roman"/>
          <w:b/>
          <w:sz w:val="24"/>
          <w:szCs w:val="24"/>
        </w:rPr>
      </w:pPr>
    </w:p>
    <w:p w:rsidR="00E64512" w:rsidRPr="002A7A89" w:rsidRDefault="00E64512" w:rsidP="00E64512">
      <w:pPr>
        <w:pStyle w:val="ae"/>
        <w:ind w:left="4320" w:firstLine="720"/>
        <w:jc w:val="center"/>
        <w:rPr>
          <w:rFonts w:ascii="Times New Roman" w:hAnsi="Times New Roman"/>
          <w:sz w:val="25"/>
          <w:szCs w:val="25"/>
        </w:rPr>
      </w:pPr>
      <w:r w:rsidRPr="002A7A89">
        <w:rPr>
          <w:rFonts w:ascii="Times New Roman" w:hAnsi="Times New Roman"/>
          <w:sz w:val="25"/>
          <w:szCs w:val="25"/>
        </w:rPr>
        <w:t xml:space="preserve">Αθήνα, </w:t>
      </w:r>
      <w:r w:rsidR="00CB4F30">
        <w:rPr>
          <w:rFonts w:ascii="Times New Roman" w:hAnsi="Times New Roman"/>
          <w:sz w:val="25"/>
          <w:szCs w:val="25"/>
        </w:rPr>
        <w:t>25</w:t>
      </w:r>
      <w:r w:rsidRPr="002A7A89">
        <w:rPr>
          <w:rFonts w:ascii="Times New Roman" w:hAnsi="Times New Roman"/>
          <w:sz w:val="25"/>
          <w:szCs w:val="25"/>
        </w:rPr>
        <w:t xml:space="preserve"> </w:t>
      </w:r>
      <w:r w:rsidR="00AF1500">
        <w:rPr>
          <w:rFonts w:ascii="Times New Roman" w:hAnsi="Times New Roman"/>
          <w:sz w:val="25"/>
          <w:szCs w:val="25"/>
        </w:rPr>
        <w:t>Φεβρουαρίου</w:t>
      </w:r>
      <w:r w:rsidRPr="002A7A89">
        <w:rPr>
          <w:rFonts w:ascii="Times New Roman" w:hAnsi="Times New Roman"/>
          <w:sz w:val="25"/>
          <w:szCs w:val="25"/>
        </w:rPr>
        <w:t xml:space="preserve"> </w:t>
      </w:r>
      <w:r w:rsidR="00CB4F30">
        <w:rPr>
          <w:rFonts w:ascii="Times New Roman" w:hAnsi="Times New Roman"/>
          <w:sz w:val="25"/>
          <w:szCs w:val="25"/>
        </w:rPr>
        <w:t>2016</w:t>
      </w:r>
    </w:p>
    <w:p w:rsidR="00E64512" w:rsidRPr="002A7A89" w:rsidRDefault="00E64512" w:rsidP="00E64512">
      <w:pPr>
        <w:pStyle w:val="ae"/>
        <w:jc w:val="center"/>
        <w:rPr>
          <w:rFonts w:ascii="Times New Roman" w:hAnsi="Times New Roman"/>
          <w:sz w:val="25"/>
          <w:szCs w:val="25"/>
        </w:rPr>
      </w:pPr>
    </w:p>
    <w:p w:rsidR="00E64512" w:rsidRPr="00E64512" w:rsidRDefault="00E64512" w:rsidP="00E64512">
      <w:pPr>
        <w:pStyle w:val="ae"/>
        <w:jc w:val="center"/>
        <w:rPr>
          <w:rFonts w:ascii="Times New Roman" w:hAnsi="Times New Roman"/>
          <w:sz w:val="25"/>
          <w:szCs w:val="25"/>
          <w:u w:val="single"/>
        </w:rPr>
      </w:pPr>
      <w:r w:rsidRPr="002A7A89">
        <w:rPr>
          <w:rFonts w:ascii="Times New Roman" w:hAnsi="Times New Roman"/>
          <w:sz w:val="25"/>
          <w:szCs w:val="25"/>
          <w:u w:val="single"/>
        </w:rPr>
        <w:t xml:space="preserve">ΔΕΛΤΙΟ ΤΥΠΟΥ </w:t>
      </w:r>
    </w:p>
    <w:p w:rsidR="00E64512" w:rsidRPr="00E64512" w:rsidRDefault="00E64512" w:rsidP="00E64512">
      <w:pPr>
        <w:pStyle w:val="ae"/>
        <w:jc w:val="center"/>
        <w:rPr>
          <w:rFonts w:ascii="Times New Roman" w:hAnsi="Times New Roman"/>
          <w:b/>
          <w:sz w:val="25"/>
          <w:szCs w:val="25"/>
        </w:rPr>
      </w:pPr>
    </w:p>
    <w:p w:rsidR="00E64512" w:rsidRPr="0065278F" w:rsidRDefault="00CB4F30" w:rsidP="004F4AAB">
      <w:pPr>
        <w:spacing w:after="0"/>
        <w:jc w:val="center"/>
        <w:rPr>
          <w:rFonts w:ascii="Times New Roman" w:hAnsi="Times New Roman" w:cs="Times New Roman"/>
          <w:b/>
          <w:bCs/>
          <w:sz w:val="28"/>
          <w:szCs w:val="28"/>
        </w:rPr>
      </w:pPr>
      <w:r w:rsidRPr="0065278F">
        <w:rPr>
          <w:rFonts w:ascii="Times New Roman" w:hAnsi="Times New Roman" w:cs="Times New Roman"/>
          <w:b/>
          <w:bCs/>
          <w:sz w:val="28"/>
          <w:szCs w:val="28"/>
        </w:rPr>
        <w:t xml:space="preserve">«Το 2016 ξεκίνησε </w:t>
      </w:r>
      <w:r w:rsidR="0043712D">
        <w:rPr>
          <w:rFonts w:ascii="Times New Roman" w:hAnsi="Times New Roman" w:cs="Times New Roman"/>
          <w:b/>
          <w:bCs/>
          <w:sz w:val="28"/>
          <w:szCs w:val="28"/>
        </w:rPr>
        <w:t xml:space="preserve">για την αγορά </w:t>
      </w:r>
      <w:r w:rsidRPr="0065278F">
        <w:rPr>
          <w:rFonts w:ascii="Times New Roman" w:hAnsi="Times New Roman" w:cs="Times New Roman"/>
          <w:b/>
          <w:bCs/>
          <w:sz w:val="28"/>
          <w:szCs w:val="28"/>
        </w:rPr>
        <w:t>χειρότερα απ’ ότι τελείωσε</w:t>
      </w:r>
      <w:r w:rsidR="0043712D">
        <w:rPr>
          <w:rFonts w:ascii="Times New Roman" w:hAnsi="Times New Roman" w:cs="Times New Roman"/>
          <w:b/>
          <w:bCs/>
          <w:sz w:val="28"/>
          <w:szCs w:val="28"/>
        </w:rPr>
        <w:t xml:space="preserve"> το 2015</w:t>
      </w:r>
      <w:r w:rsidR="00E64512" w:rsidRPr="0065278F">
        <w:rPr>
          <w:rFonts w:ascii="Times New Roman" w:hAnsi="Times New Roman" w:cs="Times New Roman"/>
          <w:b/>
          <w:bCs/>
          <w:sz w:val="28"/>
          <w:szCs w:val="28"/>
        </w:rPr>
        <w:t>»</w:t>
      </w:r>
      <w:r w:rsidR="0007480A">
        <w:rPr>
          <w:rFonts w:ascii="Times New Roman" w:hAnsi="Times New Roman" w:cs="Times New Roman"/>
          <w:b/>
          <w:bCs/>
          <w:sz w:val="28"/>
          <w:szCs w:val="28"/>
        </w:rPr>
        <w:t>.</w:t>
      </w:r>
    </w:p>
    <w:p w:rsidR="007F099E" w:rsidRPr="00C667D6" w:rsidRDefault="00E64512" w:rsidP="00E64512">
      <w:pPr>
        <w:spacing w:after="0"/>
        <w:rPr>
          <w:rFonts w:ascii="Times New Roman" w:hAnsi="Times New Roman" w:cs="Times New Roman"/>
          <w:sz w:val="28"/>
          <w:szCs w:val="28"/>
        </w:rPr>
      </w:pPr>
      <w:r w:rsidRPr="00C667D6">
        <w:rPr>
          <w:rFonts w:ascii="Times New Roman" w:hAnsi="Times New Roman" w:cs="Times New Roman"/>
          <w:sz w:val="28"/>
          <w:szCs w:val="28"/>
        </w:rPr>
        <w:t> </w:t>
      </w:r>
    </w:p>
    <w:p w:rsidR="007F099E" w:rsidRPr="007F099E" w:rsidRDefault="007F099E" w:rsidP="007F099E">
      <w:pPr>
        <w:pStyle w:val="ae"/>
        <w:jc w:val="center"/>
        <w:rPr>
          <w:rFonts w:ascii="Times New Roman" w:hAnsi="Times New Roman"/>
          <w:b/>
          <w:sz w:val="25"/>
          <w:szCs w:val="25"/>
        </w:rPr>
      </w:pPr>
    </w:p>
    <w:p w:rsidR="007F099E" w:rsidRPr="00CF1E5D" w:rsidRDefault="00364DC5" w:rsidP="00364DC5">
      <w:pPr>
        <w:pStyle w:val="ae"/>
        <w:jc w:val="center"/>
        <w:rPr>
          <w:rFonts w:ascii="Times New Roman" w:hAnsi="Times New Roman"/>
          <w:b/>
          <w:i/>
          <w:sz w:val="25"/>
          <w:szCs w:val="25"/>
        </w:rPr>
      </w:pPr>
      <w:r>
        <w:rPr>
          <w:rFonts w:ascii="Times New Roman" w:hAnsi="Times New Roman"/>
          <w:b/>
          <w:i/>
          <w:sz w:val="25"/>
          <w:szCs w:val="25"/>
        </w:rPr>
        <w:t>«</w:t>
      </w:r>
      <w:r w:rsidR="007F099E" w:rsidRPr="00CF1E5D">
        <w:rPr>
          <w:rFonts w:ascii="Times New Roman" w:hAnsi="Times New Roman"/>
          <w:b/>
          <w:i/>
          <w:sz w:val="25"/>
          <w:szCs w:val="25"/>
        </w:rPr>
        <w:t xml:space="preserve">Αποτελέσματα </w:t>
      </w:r>
      <w:r>
        <w:rPr>
          <w:rFonts w:ascii="Times New Roman" w:hAnsi="Times New Roman"/>
          <w:b/>
          <w:i/>
          <w:sz w:val="25"/>
          <w:szCs w:val="25"/>
        </w:rPr>
        <w:t xml:space="preserve">έρευνας </w:t>
      </w:r>
      <w:r w:rsidR="007F099E" w:rsidRPr="00CF1E5D">
        <w:rPr>
          <w:rFonts w:ascii="Times New Roman" w:hAnsi="Times New Roman"/>
          <w:b/>
          <w:i/>
          <w:sz w:val="25"/>
          <w:szCs w:val="25"/>
        </w:rPr>
        <w:t>χειμερινών εκπτώσεων 2016»</w:t>
      </w:r>
    </w:p>
    <w:p w:rsidR="007F099E" w:rsidRPr="005508CC" w:rsidRDefault="007F099E" w:rsidP="007F099E">
      <w:pPr>
        <w:pStyle w:val="ae"/>
        <w:jc w:val="both"/>
        <w:rPr>
          <w:rFonts w:ascii="Times New Roman" w:hAnsi="Times New Roman"/>
          <w:sz w:val="25"/>
          <w:szCs w:val="25"/>
        </w:rPr>
      </w:pPr>
    </w:p>
    <w:p w:rsidR="007F099E" w:rsidRPr="00C667D6" w:rsidRDefault="007F099E" w:rsidP="007F099E">
      <w:pPr>
        <w:pStyle w:val="ae"/>
        <w:jc w:val="both"/>
        <w:rPr>
          <w:rFonts w:ascii="Times New Roman" w:hAnsi="Times New Roman"/>
          <w:sz w:val="24"/>
          <w:szCs w:val="24"/>
        </w:rPr>
      </w:pPr>
      <w:r w:rsidRPr="00C667D6">
        <w:rPr>
          <w:rFonts w:ascii="Times New Roman" w:hAnsi="Times New Roman"/>
          <w:sz w:val="24"/>
          <w:szCs w:val="24"/>
        </w:rPr>
        <w:t xml:space="preserve">Το ΙΝΕΜΥ-ΕΣΕΕ πραγματοποίησε την περιοδική έρευνα για τις χειμερινές εκπτώσεις και διερεύνησε τη στάση και τις απόψεις των εμπόρων για το άνοιγμα των Κυριακών. Η έρευνα ήταν τηλεφωνική με χρήση δομημένου ερωτηματολογίου σε τυχαίο δείγμα 150 εμπορικών επιχειρήσεων σε παραδοσιακές εμπορικές αγορές αστικών κέντρων της χώρας. Επίσης, καταγράφηκαν οι απόψεις πολλών Εμπορικών Συλλόγων από όλη τη χώρα. </w:t>
      </w:r>
    </w:p>
    <w:p w:rsidR="007F099E" w:rsidRPr="00C667D6" w:rsidRDefault="007F099E" w:rsidP="007F099E">
      <w:pPr>
        <w:pStyle w:val="ae"/>
        <w:jc w:val="both"/>
        <w:rPr>
          <w:rFonts w:ascii="Times New Roman" w:hAnsi="Times New Roman"/>
          <w:b/>
          <w:i/>
          <w:sz w:val="24"/>
          <w:szCs w:val="24"/>
          <w:u w:val="single"/>
        </w:rPr>
      </w:pPr>
    </w:p>
    <w:p w:rsidR="007F099E" w:rsidRPr="00C667D6" w:rsidRDefault="00364DC5" w:rsidP="007F099E">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Όπως προκύπτει</w:t>
      </w:r>
      <w:r w:rsidR="005508CC">
        <w:rPr>
          <w:rFonts w:ascii="Times New Roman" w:hAnsi="Times New Roman" w:cs="Times New Roman"/>
          <w:sz w:val="24"/>
          <w:szCs w:val="24"/>
        </w:rPr>
        <w:t>,</w:t>
      </w:r>
      <w:r w:rsidR="007F099E" w:rsidRPr="00C667D6">
        <w:rPr>
          <w:rFonts w:ascii="Times New Roman" w:hAnsi="Times New Roman" w:cs="Times New Roman"/>
          <w:sz w:val="24"/>
          <w:szCs w:val="24"/>
        </w:rPr>
        <w:t xml:space="preserve"> οι έμποροι της λιανικής είχαν ως στόχο κατά τη διάρκεια των χειμερινών εκπτώσεων  να πλησιάσουν τα επίπεδα του περυσινού τζίρου, χωρίς όμως αυτό να καταστεί εφικτό. Σύμφωνα με τα αποτελέσματα της έρευνας που πραγματοποιεί κάθε χρόνο το ΙΝΕΜΥ-ΕΣΕΕ σε συνεργασία με τους Εμπορικούς Συλλόγους, καθώς και με στοιχεία από μικρομεσαίες και μεγαλύτερες εμπορικές επιχειρήσεις από όλη τη χώρα προκύπτει ότι η αρχή του 2016 δεν ήταν η αναμενόμενη.  </w:t>
      </w:r>
    </w:p>
    <w:p w:rsidR="007F099E" w:rsidRPr="005508CC" w:rsidRDefault="007F099E" w:rsidP="007F099E">
      <w:pPr>
        <w:pStyle w:val="ae"/>
        <w:jc w:val="both"/>
        <w:rPr>
          <w:rFonts w:ascii="Times New Roman" w:hAnsi="Times New Roman"/>
          <w:b/>
          <w:i/>
          <w:sz w:val="24"/>
          <w:szCs w:val="24"/>
          <w:u w:val="single"/>
        </w:rPr>
      </w:pPr>
    </w:p>
    <w:p w:rsidR="007F099E" w:rsidRPr="00C667D6" w:rsidRDefault="007F099E" w:rsidP="007F099E">
      <w:pPr>
        <w:pStyle w:val="ae"/>
        <w:jc w:val="both"/>
        <w:rPr>
          <w:rFonts w:ascii="Times New Roman" w:hAnsi="Times New Roman"/>
          <w:b/>
          <w:i/>
          <w:sz w:val="24"/>
          <w:szCs w:val="24"/>
          <w:u w:val="single"/>
        </w:rPr>
      </w:pPr>
      <w:r w:rsidRPr="00C667D6">
        <w:rPr>
          <w:rFonts w:ascii="Times New Roman" w:hAnsi="Times New Roman"/>
          <w:b/>
          <w:i/>
          <w:sz w:val="24"/>
          <w:szCs w:val="24"/>
          <w:u w:val="single"/>
        </w:rPr>
        <w:t>Εκπτώσεις</w:t>
      </w:r>
    </w:p>
    <w:p w:rsidR="007F099E" w:rsidRPr="00C667D6" w:rsidRDefault="00364DC5" w:rsidP="007F099E">
      <w:pPr>
        <w:pStyle w:val="ae"/>
        <w:jc w:val="both"/>
        <w:rPr>
          <w:rFonts w:ascii="Times New Roman" w:hAnsi="Times New Roman"/>
          <w:sz w:val="24"/>
          <w:szCs w:val="24"/>
        </w:rPr>
      </w:pPr>
      <w:r>
        <w:rPr>
          <w:rFonts w:ascii="Times New Roman" w:hAnsi="Times New Roman"/>
          <w:sz w:val="24"/>
          <w:szCs w:val="24"/>
        </w:rPr>
        <w:t xml:space="preserve">Για τις περισσότερες επιχειρήσεις (42%) το ποσοστό της έκπτωσης </w:t>
      </w:r>
      <w:r w:rsidR="007F099E" w:rsidRPr="00C667D6">
        <w:rPr>
          <w:rFonts w:ascii="Times New Roman" w:hAnsi="Times New Roman"/>
          <w:sz w:val="24"/>
          <w:szCs w:val="24"/>
        </w:rPr>
        <w:t>κυμάνθηκε μεταξύ 20% και 40%, ενώ μία στις τέσσερις ε</w:t>
      </w:r>
      <w:r w:rsidR="00BB63AC">
        <w:rPr>
          <w:rFonts w:ascii="Times New Roman" w:hAnsi="Times New Roman"/>
          <w:sz w:val="24"/>
          <w:szCs w:val="24"/>
        </w:rPr>
        <w:t>πιχειρήσεις πραγματοποιούσε πωλήσεις με ποσοστό έκπτωσης</w:t>
      </w:r>
      <w:r w:rsidR="007F099E" w:rsidRPr="00C667D6">
        <w:rPr>
          <w:rFonts w:ascii="Times New Roman" w:hAnsi="Times New Roman"/>
          <w:sz w:val="24"/>
          <w:szCs w:val="24"/>
        </w:rPr>
        <w:t xml:space="preserve"> άνω του 40%. Πρέπει να σημειωθεί ότι τα ποσοστά έκπτωσης σε κάθε περίοδο των εκπτώσεων ακολουθούν μία παρόμοια λογική τα τελευταία χρόνια.</w:t>
      </w:r>
    </w:p>
    <w:p w:rsidR="007F099E" w:rsidRPr="005508CC" w:rsidRDefault="007F099E" w:rsidP="007F099E">
      <w:pPr>
        <w:pStyle w:val="ae"/>
        <w:jc w:val="both"/>
        <w:rPr>
          <w:rFonts w:ascii="Times New Roman" w:hAnsi="Times New Roman"/>
          <w:sz w:val="24"/>
          <w:szCs w:val="24"/>
        </w:rPr>
      </w:pPr>
    </w:p>
    <w:p w:rsidR="007F099E" w:rsidRDefault="007F099E" w:rsidP="007F099E">
      <w:pPr>
        <w:pStyle w:val="ae"/>
        <w:jc w:val="both"/>
        <w:rPr>
          <w:rFonts w:ascii="Times New Roman" w:hAnsi="Times New Roman"/>
          <w:sz w:val="25"/>
          <w:szCs w:val="25"/>
        </w:rPr>
      </w:pPr>
      <w:r w:rsidRPr="00CB4F30">
        <w:rPr>
          <w:rFonts w:ascii="Times New Roman" w:hAnsi="Times New Roman"/>
          <w:noProof/>
          <w:sz w:val="25"/>
          <w:szCs w:val="25"/>
          <w:lang w:eastAsia="el-GR"/>
        </w:rPr>
        <w:lastRenderedPageBreak/>
        <w:drawing>
          <wp:inline distT="0" distB="0" distL="0" distR="0">
            <wp:extent cx="5167427" cy="2809037"/>
            <wp:effectExtent l="19050" t="0" r="14173" b="0"/>
            <wp:docPr id="2"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099E" w:rsidRDefault="007F099E" w:rsidP="007F099E">
      <w:pPr>
        <w:pStyle w:val="ae"/>
        <w:jc w:val="both"/>
        <w:rPr>
          <w:rFonts w:ascii="Times New Roman" w:hAnsi="Times New Roman"/>
          <w:sz w:val="25"/>
          <w:szCs w:val="25"/>
        </w:rPr>
      </w:pPr>
    </w:p>
    <w:p w:rsidR="00BB63AC" w:rsidRDefault="00BB63AC" w:rsidP="007F099E">
      <w:pPr>
        <w:pStyle w:val="ae"/>
        <w:jc w:val="both"/>
        <w:rPr>
          <w:rFonts w:ascii="Times New Roman" w:hAnsi="Times New Roman"/>
          <w:sz w:val="25"/>
          <w:szCs w:val="25"/>
        </w:rPr>
      </w:pPr>
    </w:p>
    <w:p w:rsidR="00BB63AC" w:rsidRDefault="00BB63AC" w:rsidP="007F099E">
      <w:pPr>
        <w:pStyle w:val="ae"/>
        <w:jc w:val="both"/>
        <w:rPr>
          <w:rFonts w:ascii="Times New Roman" w:hAnsi="Times New Roman"/>
          <w:sz w:val="25"/>
          <w:szCs w:val="25"/>
        </w:rPr>
      </w:pPr>
    </w:p>
    <w:p w:rsidR="00BB63AC" w:rsidRDefault="00BB63AC" w:rsidP="007F099E">
      <w:pPr>
        <w:pStyle w:val="ae"/>
        <w:jc w:val="both"/>
        <w:rPr>
          <w:rFonts w:ascii="Times New Roman" w:hAnsi="Times New Roman"/>
          <w:sz w:val="25"/>
          <w:szCs w:val="25"/>
        </w:rPr>
      </w:pPr>
    </w:p>
    <w:p w:rsidR="00BB63AC" w:rsidRPr="00C667D6" w:rsidRDefault="00BB63AC" w:rsidP="00BB63AC">
      <w:pPr>
        <w:pStyle w:val="ae"/>
        <w:jc w:val="both"/>
        <w:rPr>
          <w:rFonts w:ascii="Times New Roman" w:hAnsi="Times New Roman"/>
          <w:sz w:val="24"/>
          <w:szCs w:val="24"/>
        </w:rPr>
      </w:pPr>
      <w:r w:rsidRPr="00C667D6">
        <w:rPr>
          <w:rFonts w:ascii="Times New Roman" w:hAnsi="Times New Roman"/>
          <w:sz w:val="24"/>
          <w:szCs w:val="24"/>
        </w:rPr>
        <w:t>Όσον αφορά την εξέλιξη των πωλήσεων διαπιστώθηκε ότι σε σύγκριση με το 2015 μία στις τρεις επιχειρήσεις εμφάνισε απώλεια τζίρου. Το ποσοστό αυτό είναι αρκετά μεγαλύτερο σε σύγκριση με την προηγούμενη περίοδο</w:t>
      </w:r>
      <w:r>
        <w:rPr>
          <w:rFonts w:ascii="Times New Roman" w:hAnsi="Times New Roman"/>
          <w:sz w:val="24"/>
          <w:szCs w:val="24"/>
        </w:rPr>
        <w:t>.  Ε</w:t>
      </w:r>
      <w:r w:rsidRPr="00C667D6">
        <w:rPr>
          <w:rFonts w:ascii="Times New Roman" w:hAnsi="Times New Roman"/>
          <w:sz w:val="24"/>
          <w:szCs w:val="24"/>
        </w:rPr>
        <w:t>νώ το ποσοστό αυτών που δήλωσαν ότι οι εκπτώσεις του 2016 ήταν καλύτερες σε σύγκριση με την περσινή περίοδο</w:t>
      </w:r>
      <w:r>
        <w:rPr>
          <w:rFonts w:ascii="Times New Roman" w:hAnsi="Times New Roman"/>
          <w:sz w:val="24"/>
          <w:szCs w:val="24"/>
        </w:rPr>
        <w:t xml:space="preserve"> είναι εξαιρετικά μικρό (2%)</w:t>
      </w:r>
      <w:r w:rsidRPr="00C667D6">
        <w:rPr>
          <w:rFonts w:ascii="Times New Roman" w:hAnsi="Times New Roman"/>
          <w:sz w:val="24"/>
          <w:szCs w:val="24"/>
        </w:rPr>
        <w:t xml:space="preserve">. </w:t>
      </w:r>
    </w:p>
    <w:p w:rsidR="007F099E" w:rsidRPr="00BB63AC" w:rsidRDefault="007F099E" w:rsidP="007F099E">
      <w:pPr>
        <w:pStyle w:val="ae"/>
        <w:spacing w:before="80" w:line="360" w:lineRule="atLeast"/>
        <w:jc w:val="both"/>
        <w:rPr>
          <w:rFonts w:ascii="Times New Roman" w:hAnsi="Times New Roman"/>
          <w:sz w:val="24"/>
          <w:szCs w:val="24"/>
        </w:rPr>
      </w:pPr>
    </w:p>
    <w:p w:rsidR="007F099E" w:rsidRDefault="007F099E" w:rsidP="007F099E">
      <w:pPr>
        <w:pStyle w:val="ae"/>
        <w:spacing w:before="80" w:line="360" w:lineRule="atLeast"/>
        <w:jc w:val="both"/>
        <w:rPr>
          <w:rFonts w:ascii="Times New Roman" w:hAnsi="Times New Roman"/>
          <w:sz w:val="24"/>
          <w:szCs w:val="24"/>
        </w:rPr>
      </w:pPr>
      <w:r w:rsidRPr="001852DF">
        <w:rPr>
          <w:rFonts w:ascii="Times New Roman" w:hAnsi="Times New Roman"/>
          <w:noProof/>
          <w:sz w:val="24"/>
          <w:szCs w:val="24"/>
          <w:lang w:eastAsia="el-GR"/>
        </w:rPr>
        <w:drawing>
          <wp:inline distT="0" distB="0" distL="0" distR="0">
            <wp:extent cx="5337810" cy="2874633"/>
            <wp:effectExtent l="19050" t="0" r="15240" b="1917"/>
            <wp:docPr id="3"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099E" w:rsidRPr="003D3821" w:rsidRDefault="007F099E" w:rsidP="007F099E">
      <w:pPr>
        <w:pStyle w:val="ae"/>
        <w:jc w:val="center"/>
        <w:rPr>
          <w:rFonts w:ascii="Times New Roman" w:hAnsi="Times New Roman"/>
          <w:sz w:val="24"/>
          <w:szCs w:val="24"/>
        </w:rPr>
      </w:pPr>
    </w:p>
    <w:p w:rsidR="00BB63AC" w:rsidRDefault="00BB63AC" w:rsidP="00BB63AC">
      <w:pPr>
        <w:pStyle w:val="ae"/>
        <w:jc w:val="both"/>
        <w:rPr>
          <w:rFonts w:ascii="Times New Roman" w:hAnsi="Times New Roman"/>
          <w:sz w:val="24"/>
          <w:szCs w:val="24"/>
        </w:rPr>
      </w:pPr>
    </w:p>
    <w:p w:rsidR="00BB63AC" w:rsidRPr="00C667D6" w:rsidRDefault="00BB63AC" w:rsidP="00BB63AC">
      <w:pPr>
        <w:pStyle w:val="ae"/>
        <w:jc w:val="both"/>
        <w:rPr>
          <w:rFonts w:ascii="Times New Roman" w:hAnsi="Times New Roman"/>
          <w:sz w:val="24"/>
          <w:szCs w:val="24"/>
        </w:rPr>
      </w:pPr>
      <w:r>
        <w:rPr>
          <w:rFonts w:ascii="Times New Roman" w:hAnsi="Times New Roman"/>
          <w:sz w:val="24"/>
          <w:szCs w:val="24"/>
        </w:rPr>
        <w:t xml:space="preserve">Οι μεταβολές του ποσοστού της μείωσης των πωλήσεων σε σύγκριση με το προηγούμενο έτος κινείται στα ίδια επίπεδα με πέρσι. </w:t>
      </w:r>
      <w:r w:rsidRPr="00C667D6">
        <w:rPr>
          <w:rFonts w:ascii="Times New Roman" w:hAnsi="Times New Roman"/>
          <w:sz w:val="24"/>
          <w:szCs w:val="24"/>
        </w:rPr>
        <w:t>Μια στις τρεις επιχειρήσεις εμφάνισε απώλεια τζίρου μεγαλύτερη του 40%, μία στις δέκα 31% με 40% και μία στις πέντε 21% με 30%.</w:t>
      </w:r>
    </w:p>
    <w:p w:rsidR="007F099E" w:rsidRDefault="007F099E" w:rsidP="007F099E">
      <w:pPr>
        <w:pStyle w:val="ae"/>
        <w:jc w:val="both"/>
        <w:rPr>
          <w:rFonts w:ascii="Times New Roman" w:hAnsi="Times New Roman"/>
          <w:sz w:val="24"/>
          <w:szCs w:val="24"/>
        </w:rPr>
      </w:pPr>
    </w:p>
    <w:p w:rsidR="007F099E" w:rsidRDefault="007F099E" w:rsidP="007F099E">
      <w:pPr>
        <w:pStyle w:val="ae"/>
        <w:jc w:val="both"/>
        <w:rPr>
          <w:rFonts w:ascii="Times New Roman" w:hAnsi="Times New Roman"/>
          <w:sz w:val="25"/>
          <w:szCs w:val="25"/>
        </w:rPr>
      </w:pPr>
    </w:p>
    <w:p w:rsidR="007F099E" w:rsidRDefault="007F099E" w:rsidP="007F099E">
      <w:pPr>
        <w:pStyle w:val="ae"/>
        <w:jc w:val="both"/>
        <w:rPr>
          <w:rFonts w:ascii="Times New Roman" w:hAnsi="Times New Roman"/>
          <w:sz w:val="25"/>
          <w:szCs w:val="25"/>
        </w:rPr>
      </w:pPr>
      <w:r w:rsidRPr="001852DF">
        <w:rPr>
          <w:rFonts w:ascii="Times New Roman" w:hAnsi="Times New Roman"/>
          <w:noProof/>
          <w:sz w:val="25"/>
          <w:szCs w:val="25"/>
          <w:lang w:eastAsia="el-GR"/>
        </w:rPr>
        <w:lastRenderedPageBreak/>
        <w:drawing>
          <wp:inline distT="0" distB="0" distL="0" distR="0">
            <wp:extent cx="5337810" cy="2700413"/>
            <wp:effectExtent l="19050" t="0" r="15240" b="4687"/>
            <wp:docPr id="5"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099E" w:rsidRDefault="007F099E" w:rsidP="007F099E">
      <w:pPr>
        <w:pStyle w:val="ae"/>
        <w:jc w:val="both"/>
        <w:rPr>
          <w:rFonts w:ascii="Times New Roman" w:hAnsi="Times New Roman"/>
          <w:sz w:val="25"/>
          <w:szCs w:val="25"/>
        </w:rPr>
      </w:pPr>
    </w:p>
    <w:p w:rsidR="007F099E" w:rsidRDefault="007F099E" w:rsidP="007F099E">
      <w:pPr>
        <w:pStyle w:val="ae"/>
        <w:jc w:val="both"/>
        <w:rPr>
          <w:rFonts w:ascii="Times New Roman" w:hAnsi="Times New Roman"/>
          <w:sz w:val="24"/>
          <w:szCs w:val="24"/>
        </w:rPr>
      </w:pPr>
    </w:p>
    <w:p w:rsidR="00BB63AC" w:rsidRDefault="00BB63AC" w:rsidP="007F099E">
      <w:pPr>
        <w:pStyle w:val="ae"/>
        <w:jc w:val="both"/>
        <w:rPr>
          <w:rFonts w:ascii="Times New Roman" w:hAnsi="Times New Roman"/>
          <w:sz w:val="24"/>
          <w:szCs w:val="24"/>
        </w:rPr>
      </w:pPr>
    </w:p>
    <w:p w:rsidR="00BB63AC" w:rsidRDefault="00BB63AC" w:rsidP="007F099E">
      <w:pPr>
        <w:pStyle w:val="ae"/>
        <w:jc w:val="both"/>
        <w:rPr>
          <w:rFonts w:ascii="Times New Roman" w:hAnsi="Times New Roman"/>
          <w:sz w:val="24"/>
          <w:szCs w:val="24"/>
        </w:rPr>
      </w:pPr>
    </w:p>
    <w:p w:rsidR="007F099E" w:rsidRDefault="007F099E" w:rsidP="007F099E">
      <w:pPr>
        <w:pStyle w:val="ae"/>
        <w:jc w:val="both"/>
        <w:rPr>
          <w:rFonts w:ascii="Times New Roman" w:hAnsi="Times New Roman"/>
          <w:sz w:val="24"/>
          <w:szCs w:val="24"/>
        </w:rPr>
      </w:pPr>
      <w:r>
        <w:rPr>
          <w:rFonts w:ascii="Times New Roman" w:hAnsi="Times New Roman"/>
          <w:sz w:val="24"/>
          <w:szCs w:val="24"/>
        </w:rPr>
        <w:t>Ο</w:t>
      </w:r>
      <w:r w:rsidR="00BB63AC">
        <w:rPr>
          <w:rFonts w:ascii="Times New Roman" w:hAnsi="Times New Roman"/>
          <w:sz w:val="24"/>
          <w:szCs w:val="24"/>
        </w:rPr>
        <w:t xml:space="preserve">ι έμποροι </w:t>
      </w:r>
      <w:r>
        <w:rPr>
          <w:rFonts w:ascii="Times New Roman" w:hAnsi="Times New Roman"/>
          <w:sz w:val="24"/>
          <w:szCs w:val="24"/>
        </w:rPr>
        <w:t xml:space="preserve">σε ποσοστό 48,3%, δήλωσαν ότι η καλύτερη περίοδος των χειμερινών εκπτώσεων ήταν από τις 15/1/2016 έως 31/1/2016, ακολουθεί η περίοδος 1/2/2016 έως 15/2/2016 με ποσοστό 43,31% και τέλος η περίοδος 16/2/2015 έως το τέλος των εκπτώσεων. Θα πρέπει να σημειωθεί ότι είναι από τις πρώτες φορές όπου το πρώτο δεκαπενθήμερο των εκπτώσεων δεν υπερισχύει με ένταση </w:t>
      </w:r>
      <w:r w:rsidR="0012713B">
        <w:rPr>
          <w:rFonts w:ascii="Times New Roman" w:hAnsi="Times New Roman"/>
          <w:sz w:val="24"/>
          <w:szCs w:val="24"/>
        </w:rPr>
        <w:t>σ</w:t>
      </w:r>
      <w:r>
        <w:rPr>
          <w:rFonts w:ascii="Times New Roman" w:hAnsi="Times New Roman"/>
          <w:sz w:val="24"/>
          <w:szCs w:val="24"/>
        </w:rPr>
        <w:t>ε σύγκριση με τις άλλες περιόδους. Δεν γνωρίζουμε αν αποτελεί ένα νέο εύρημα στην αλλαγή της συνήθους καταναλωτικής πρακτικής</w:t>
      </w:r>
      <w:r w:rsidR="0012713B">
        <w:rPr>
          <w:rFonts w:ascii="Times New Roman" w:hAnsi="Times New Roman"/>
          <w:sz w:val="24"/>
          <w:szCs w:val="24"/>
        </w:rPr>
        <w:t>,</w:t>
      </w:r>
      <w:r>
        <w:rPr>
          <w:rFonts w:ascii="Times New Roman" w:hAnsi="Times New Roman"/>
          <w:sz w:val="24"/>
          <w:szCs w:val="24"/>
        </w:rPr>
        <w:t xml:space="preserve"> αφού ακόμα δεν γνωρίζουμε αν θα συνεχίσει η ίδια τάση. Παρ</w:t>
      </w:r>
      <w:r w:rsidR="0043712D">
        <w:rPr>
          <w:rFonts w:ascii="Times New Roman" w:hAnsi="Times New Roman"/>
          <w:sz w:val="24"/>
          <w:szCs w:val="24"/>
        </w:rPr>
        <w:t>’</w:t>
      </w:r>
      <w:r>
        <w:rPr>
          <w:rFonts w:ascii="Times New Roman" w:hAnsi="Times New Roman"/>
          <w:sz w:val="24"/>
          <w:szCs w:val="24"/>
        </w:rPr>
        <w:t xml:space="preserve"> όλα αυτά</w:t>
      </w:r>
      <w:r w:rsidR="0043712D">
        <w:rPr>
          <w:rFonts w:ascii="Times New Roman" w:hAnsi="Times New Roman"/>
          <w:sz w:val="24"/>
          <w:szCs w:val="24"/>
        </w:rPr>
        <w:t>,</w:t>
      </w:r>
      <w:r>
        <w:rPr>
          <w:rFonts w:ascii="Times New Roman" w:hAnsi="Times New Roman"/>
          <w:sz w:val="24"/>
          <w:szCs w:val="24"/>
        </w:rPr>
        <w:t xml:space="preserve"> κρίνουμε ότι τα δεκαήμερα προσφορών πριν τις εκπτώσεις που πραγματοποιούνται πλέον από μεγάλες πολυεθνικές αλυσίδες και οι πραγματοποίηση των ενδιάμεσων εκπτώσεων είναι γεγονός ότι θα επέφεραν αλλαγές στις καταναλωτικές στρατηγικές.</w:t>
      </w:r>
    </w:p>
    <w:p w:rsidR="007F099E" w:rsidRDefault="007F099E" w:rsidP="007F099E">
      <w:pPr>
        <w:pStyle w:val="ae"/>
        <w:jc w:val="both"/>
        <w:rPr>
          <w:rFonts w:ascii="Times New Roman" w:hAnsi="Times New Roman"/>
          <w:sz w:val="24"/>
          <w:szCs w:val="24"/>
        </w:rPr>
      </w:pPr>
    </w:p>
    <w:p w:rsidR="007F099E" w:rsidRDefault="007F099E" w:rsidP="007F099E">
      <w:pPr>
        <w:pStyle w:val="ae"/>
        <w:jc w:val="both"/>
        <w:rPr>
          <w:rFonts w:ascii="Times New Roman" w:hAnsi="Times New Roman"/>
          <w:sz w:val="24"/>
          <w:szCs w:val="24"/>
        </w:rPr>
      </w:pPr>
      <w:r w:rsidRPr="001852DF">
        <w:rPr>
          <w:rFonts w:ascii="Times New Roman" w:hAnsi="Times New Roman"/>
          <w:noProof/>
          <w:sz w:val="24"/>
          <w:szCs w:val="24"/>
          <w:lang w:eastAsia="el-GR"/>
        </w:rPr>
        <w:drawing>
          <wp:inline distT="0" distB="0" distL="0" distR="0">
            <wp:extent cx="4885004" cy="2933395"/>
            <wp:effectExtent l="19050" t="0" r="10846" b="305"/>
            <wp:docPr id="6"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99E" w:rsidRDefault="007F099E" w:rsidP="007F099E">
      <w:pPr>
        <w:pStyle w:val="ae"/>
        <w:jc w:val="both"/>
        <w:rPr>
          <w:rFonts w:ascii="Times New Roman" w:hAnsi="Times New Roman"/>
          <w:sz w:val="24"/>
          <w:szCs w:val="24"/>
        </w:rPr>
      </w:pPr>
    </w:p>
    <w:p w:rsidR="007F099E" w:rsidRDefault="007F099E" w:rsidP="007F099E">
      <w:pPr>
        <w:pStyle w:val="ae"/>
        <w:spacing w:before="80"/>
        <w:jc w:val="both"/>
        <w:rPr>
          <w:rFonts w:ascii="Times New Roman" w:hAnsi="Times New Roman"/>
          <w:sz w:val="24"/>
          <w:szCs w:val="24"/>
        </w:rPr>
      </w:pPr>
    </w:p>
    <w:p w:rsidR="007F099E" w:rsidRDefault="007F099E" w:rsidP="007F099E">
      <w:pPr>
        <w:pStyle w:val="ae"/>
        <w:spacing w:before="80"/>
        <w:jc w:val="both"/>
        <w:rPr>
          <w:rFonts w:ascii="Times New Roman" w:hAnsi="Times New Roman"/>
          <w:sz w:val="24"/>
          <w:szCs w:val="24"/>
        </w:rPr>
      </w:pPr>
    </w:p>
    <w:p w:rsidR="0012713B" w:rsidRDefault="0012713B" w:rsidP="007F099E">
      <w:pPr>
        <w:pStyle w:val="ae"/>
        <w:spacing w:before="80"/>
        <w:jc w:val="both"/>
        <w:rPr>
          <w:rFonts w:ascii="Times New Roman" w:hAnsi="Times New Roman"/>
          <w:sz w:val="24"/>
          <w:szCs w:val="24"/>
        </w:rPr>
      </w:pPr>
    </w:p>
    <w:p w:rsidR="0012713B" w:rsidRPr="00C667D6" w:rsidRDefault="0012713B" w:rsidP="007F099E">
      <w:pPr>
        <w:pStyle w:val="ae"/>
        <w:spacing w:before="80"/>
        <w:jc w:val="both"/>
        <w:rPr>
          <w:rFonts w:ascii="Times New Roman" w:hAnsi="Times New Roman"/>
          <w:sz w:val="24"/>
          <w:szCs w:val="24"/>
        </w:rPr>
      </w:pPr>
    </w:p>
    <w:p w:rsidR="007F099E" w:rsidRDefault="007F099E" w:rsidP="007F099E">
      <w:pPr>
        <w:spacing w:after="0" w:line="240" w:lineRule="auto"/>
        <w:jc w:val="both"/>
        <w:rPr>
          <w:rFonts w:ascii="Times New Roman" w:hAnsi="Times New Roman"/>
          <w:sz w:val="25"/>
          <w:szCs w:val="25"/>
        </w:rPr>
      </w:pPr>
    </w:p>
    <w:p w:rsidR="007F099E" w:rsidRPr="00C667D6" w:rsidRDefault="007F099E" w:rsidP="007F099E">
      <w:pPr>
        <w:spacing w:after="0" w:line="240" w:lineRule="auto"/>
        <w:jc w:val="both"/>
        <w:rPr>
          <w:rFonts w:ascii="Times New Roman" w:hAnsi="Times New Roman"/>
          <w:sz w:val="24"/>
          <w:szCs w:val="24"/>
        </w:rPr>
      </w:pPr>
      <w:r w:rsidRPr="00C667D6">
        <w:rPr>
          <w:rFonts w:ascii="Times New Roman" w:hAnsi="Times New Roman"/>
          <w:sz w:val="24"/>
          <w:szCs w:val="24"/>
        </w:rPr>
        <w:t>Για τα καταστήματα που άνοιξαν</w:t>
      </w:r>
      <w:r w:rsidR="00FF17D7" w:rsidRPr="00FF17D7">
        <w:rPr>
          <w:rFonts w:ascii="Times New Roman" w:hAnsi="Times New Roman"/>
          <w:sz w:val="24"/>
          <w:szCs w:val="24"/>
        </w:rPr>
        <w:t xml:space="preserve"> </w:t>
      </w:r>
      <w:r w:rsidR="00FF17D7">
        <w:rPr>
          <w:rFonts w:ascii="Times New Roman" w:hAnsi="Times New Roman"/>
          <w:sz w:val="24"/>
          <w:szCs w:val="24"/>
        </w:rPr>
        <w:t>την Κυριακή 17 Ιανουαρίου</w:t>
      </w:r>
      <w:r w:rsidRPr="00C667D6">
        <w:rPr>
          <w:rFonts w:ascii="Times New Roman" w:hAnsi="Times New Roman"/>
          <w:sz w:val="24"/>
          <w:szCs w:val="24"/>
        </w:rPr>
        <w:t xml:space="preserve"> παρατηρείται ότι η πλειονότητα των επιχειρηματιών, της τάξης του 87%, πιστεύει ότι το άνοιγμα του καταστήματος την Κυριακή δεν επηρέασε τον συνολικό τζίρο της χειμερινής εκπτωτικής περιόδου και μόλις το 13% δηλώνει ότι επηρέασε θετικά τον συνολικό ύψος των πωλήσεων.</w:t>
      </w:r>
    </w:p>
    <w:p w:rsidR="007F099E" w:rsidRPr="00ED5D25" w:rsidRDefault="007F099E" w:rsidP="007F099E">
      <w:pPr>
        <w:spacing w:after="0" w:line="240" w:lineRule="auto"/>
        <w:jc w:val="both"/>
        <w:rPr>
          <w:rFonts w:ascii="Times New Roman" w:hAnsi="Times New Roman"/>
          <w:sz w:val="25"/>
          <w:szCs w:val="25"/>
        </w:rPr>
      </w:pPr>
    </w:p>
    <w:p w:rsidR="007F099E" w:rsidRPr="005756C6" w:rsidRDefault="007F099E" w:rsidP="007F099E">
      <w:pPr>
        <w:pStyle w:val="ae"/>
        <w:spacing w:line="360" w:lineRule="atLeast"/>
        <w:jc w:val="both"/>
        <w:rPr>
          <w:rFonts w:ascii="Times New Roman" w:hAnsi="Times New Roman"/>
          <w:sz w:val="24"/>
          <w:szCs w:val="24"/>
        </w:rPr>
      </w:pPr>
      <w:r w:rsidRPr="005C567A">
        <w:rPr>
          <w:rFonts w:ascii="Times New Roman" w:hAnsi="Times New Roman"/>
          <w:noProof/>
          <w:sz w:val="24"/>
          <w:szCs w:val="24"/>
          <w:lang w:eastAsia="el-GR"/>
        </w:rPr>
        <w:drawing>
          <wp:inline distT="0" distB="0" distL="0" distR="0">
            <wp:extent cx="5337810" cy="2899345"/>
            <wp:effectExtent l="19050" t="0" r="15240" b="0"/>
            <wp:docPr id="8"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99E" w:rsidRPr="008F75EC" w:rsidRDefault="007F099E" w:rsidP="007F099E">
      <w:pPr>
        <w:pStyle w:val="ae"/>
        <w:spacing w:line="360" w:lineRule="atLeast"/>
        <w:jc w:val="center"/>
        <w:rPr>
          <w:rFonts w:ascii="Times New Roman" w:hAnsi="Times New Roman"/>
          <w:sz w:val="24"/>
          <w:szCs w:val="24"/>
          <w:lang w:val="en-GB"/>
        </w:rPr>
      </w:pPr>
    </w:p>
    <w:p w:rsidR="007F099E" w:rsidRPr="00C667D6" w:rsidRDefault="007F099E" w:rsidP="007F099E">
      <w:pPr>
        <w:pStyle w:val="ae"/>
        <w:jc w:val="both"/>
        <w:rPr>
          <w:rFonts w:ascii="Times New Roman" w:hAnsi="Times New Roman"/>
          <w:sz w:val="25"/>
          <w:szCs w:val="25"/>
          <w:lang w:val="en-US"/>
        </w:rPr>
      </w:pPr>
    </w:p>
    <w:p w:rsidR="007F099E" w:rsidRDefault="007F099E" w:rsidP="007F099E">
      <w:pPr>
        <w:pStyle w:val="ae"/>
        <w:jc w:val="both"/>
        <w:rPr>
          <w:rFonts w:ascii="Times New Roman" w:hAnsi="Times New Roman"/>
          <w:sz w:val="25"/>
          <w:szCs w:val="25"/>
        </w:rPr>
      </w:pPr>
    </w:p>
    <w:p w:rsidR="007F099E" w:rsidRPr="00C667D6" w:rsidRDefault="00BB63AC" w:rsidP="007F099E">
      <w:pPr>
        <w:pStyle w:val="ae"/>
        <w:jc w:val="both"/>
        <w:rPr>
          <w:rFonts w:ascii="Times New Roman" w:hAnsi="Times New Roman"/>
          <w:sz w:val="24"/>
          <w:szCs w:val="24"/>
        </w:rPr>
      </w:pPr>
      <w:r>
        <w:rPr>
          <w:rFonts w:ascii="Times New Roman" w:hAnsi="Times New Roman"/>
          <w:sz w:val="24"/>
          <w:szCs w:val="24"/>
        </w:rPr>
        <w:t>Είναι ιδιαίτερα αποκαλυπτικό ότι στην ερώτηση</w:t>
      </w:r>
      <w:r w:rsidR="007F099E" w:rsidRPr="00C667D6">
        <w:rPr>
          <w:rFonts w:ascii="Times New Roman" w:hAnsi="Times New Roman"/>
          <w:sz w:val="24"/>
          <w:szCs w:val="24"/>
        </w:rPr>
        <w:t xml:space="preserve">, με ποιον τρόπο καλύπτουν οι επιχειρηματίες την ανάγκη απασχόλησης προσωπικού, </w:t>
      </w:r>
      <w:r>
        <w:rPr>
          <w:rFonts w:ascii="Times New Roman" w:hAnsi="Times New Roman"/>
          <w:sz w:val="24"/>
          <w:szCs w:val="24"/>
        </w:rPr>
        <w:t>μ</w:t>
      </w:r>
      <w:r w:rsidRPr="00C667D6">
        <w:rPr>
          <w:rFonts w:ascii="Times New Roman" w:hAnsi="Times New Roman"/>
          <w:sz w:val="24"/>
          <w:szCs w:val="24"/>
        </w:rPr>
        <w:t>όλις το 3% δηλώνει ότι έχει προσλάβει επιπλέον υπάλληλο.</w:t>
      </w:r>
      <w:r>
        <w:rPr>
          <w:rFonts w:ascii="Times New Roman" w:hAnsi="Times New Roman"/>
          <w:sz w:val="24"/>
          <w:szCs w:val="24"/>
        </w:rPr>
        <w:t xml:space="preserve"> Είναι φανερό ότι </w:t>
      </w:r>
      <w:r w:rsidR="007F099E" w:rsidRPr="00C667D6">
        <w:rPr>
          <w:rFonts w:ascii="Times New Roman" w:hAnsi="Times New Roman"/>
          <w:sz w:val="24"/>
          <w:szCs w:val="24"/>
        </w:rPr>
        <w:t>το άνοιγμα των καταστημάτων τις Κυριακές δεν είχε ως αποτέλεσμα την αύξηση της απασχόλησης. Η πλειονότητα σε ποσοστό 78% έχει επωμιστεί προσωπικά την κάλυψη της συγκεκριμένης ανάγκης και το υπόλοιπο 19% των επιχειρήσεων έχει επεκτείνει το ωράριο των ήδη υπαρχόντων υπαλλήλων.</w:t>
      </w:r>
    </w:p>
    <w:p w:rsidR="007F099E" w:rsidRDefault="007F099E" w:rsidP="007F099E">
      <w:pPr>
        <w:rPr>
          <w:rFonts w:ascii="Times New Roman" w:hAnsi="Times New Roman"/>
          <w:sz w:val="24"/>
          <w:szCs w:val="24"/>
        </w:rPr>
      </w:pPr>
    </w:p>
    <w:p w:rsidR="007F099E" w:rsidRPr="005C567A" w:rsidRDefault="007F099E" w:rsidP="007F099E">
      <w:pPr>
        <w:rPr>
          <w:rFonts w:ascii="Times New Roman" w:hAnsi="Times New Roman"/>
          <w:sz w:val="24"/>
          <w:szCs w:val="24"/>
        </w:rPr>
      </w:pPr>
      <w:r w:rsidRPr="005C567A">
        <w:rPr>
          <w:rFonts w:ascii="Times New Roman" w:hAnsi="Times New Roman"/>
          <w:noProof/>
          <w:sz w:val="24"/>
          <w:szCs w:val="24"/>
          <w:lang w:eastAsia="el-GR"/>
        </w:rPr>
        <w:drawing>
          <wp:inline distT="0" distB="0" distL="0" distR="0">
            <wp:extent cx="5337810" cy="2713387"/>
            <wp:effectExtent l="19050" t="0" r="15240" b="0"/>
            <wp:docPr id="9"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099E" w:rsidRDefault="007F099E" w:rsidP="007F099E">
      <w:pPr>
        <w:pStyle w:val="ae"/>
        <w:spacing w:line="360" w:lineRule="atLeast"/>
        <w:jc w:val="both"/>
        <w:rPr>
          <w:rFonts w:ascii="Times New Roman" w:hAnsi="Times New Roman"/>
          <w:sz w:val="24"/>
          <w:szCs w:val="24"/>
        </w:rPr>
      </w:pPr>
    </w:p>
    <w:p w:rsidR="007F099E" w:rsidRPr="00C667D6" w:rsidRDefault="007F099E" w:rsidP="007F099E">
      <w:pPr>
        <w:spacing w:after="0" w:line="240" w:lineRule="auto"/>
        <w:jc w:val="both"/>
        <w:rPr>
          <w:rFonts w:ascii="Times New Roman" w:hAnsi="Times New Roman"/>
          <w:sz w:val="24"/>
          <w:szCs w:val="24"/>
        </w:rPr>
      </w:pPr>
      <w:r w:rsidRPr="00C667D6">
        <w:rPr>
          <w:rFonts w:ascii="Times New Roman" w:hAnsi="Times New Roman"/>
          <w:sz w:val="24"/>
          <w:szCs w:val="24"/>
        </w:rPr>
        <w:lastRenderedPageBreak/>
        <w:t>Όσον αφορά το λειτουργικό κόστος της επιχείρησης, το 52% των επιχειρήσεων απάντησαν ότι επιβαρύνεται είτε πάρα πολύ είτε πολύ από το άνοιγμα των Κυριακών, το ίδιο ποσοστό 42% απάντησε λίγο, ενώ το 6% δήλωσε ότι δεν έχει επιβαρυνθεί καθόλου.</w:t>
      </w:r>
    </w:p>
    <w:p w:rsidR="007F099E" w:rsidRPr="00ED5D25" w:rsidRDefault="007F099E" w:rsidP="007F099E">
      <w:pPr>
        <w:spacing w:after="0" w:line="240" w:lineRule="auto"/>
        <w:jc w:val="both"/>
        <w:rPr>
          <w:rFonts w:ascii="Times New Roman" w:hAnsi="Times New Roman"/>
          <w:sz w:val="25"/>
          <w:szCs w:val="25"/>
        </w:rPr>
      </w:pPr>
    </w:p>
    <w:p w:rsidR="007F099E" w:rsidRPr="00595DBD" w:rsidRDefault="007F099E" w:rsidP="007F099E">
      <w:pPr>
        <w:spacing w:line="360" w:lineRule="atLeast"/>
        <w:jc w:val="center"/>
        <w:rPr>
          <w:rFonts w:ascii="Times New Roman" w:hAnsi="Times New Roman"/>
          <w:sz w:val="24"/>
          <w:szCs w:val="24"/>
        </w:rPr>
      </w:pPr>
      <w:r w:rsidRPr="005C567A">
        <w:rPr>
          <w:rFonts w:ascii="Times New Roman" w:hAnsi="Times New Roman"/>
          <w:noProof/>
          <w:sz w:val="24"/>
          <w:szCs w:val="24"/>
          <w:lang w:eastAsia="el-GR"/>
        </w:rPr>
        <w:drawing>
          <wp:inline distT="0" distB="0" distL="0" distR="0">
            <wp:extent cx="5341274" cy="2736272"/>
            <wp:effectExtent l="19050" t="0" r="11776" b="6928"/>
            <wp:docPr id="10"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099E" w:rsidRDefault="007F099E" w:rsidP="007F099E">
      <w:pPr>
        <w:spacing w:after="0" w:line="240" w:lineRule="auto"/>
        <w:jc w:val="both"/>
        <w:rPr>
          <w:rFonts w:ascii="Times New Roman" w:hAnsi="Times New Roman"/>
          <w:sz w:val="25"/>
          <w:szCs w:val="25"/>
        </w:rPr>
      </w:pPr>
    </w:p>
    <w:p w:rsidR="007F099E" w:rsidRPr="00C667D6" w:rsidRDefault="007F099E" w:rsidP="007F099E">
      <w:pPr>
        <w:spacing w:after="0" w:line="240" w:lineRule="auto"/>
        <w:jc w:val="both"/>
        <w:rPr>
          <w:rFonts w:ascii="Times New Roman" w:hAnsi="Times New Roman"/>
          <w:sz w:val="25"/>
          <w:szCs w:val="25"/>
          <w:lang w:val="en-US"/>
        </w:rPr>
      </w:pPr>
    </w:p>
    <w:p w:rsidR="007F099E" w:rsidRPr="00C667D6" w:rsidRDefault="007F099E" w:rsidP="007F099E">
      <w:pPr>
        <w:spacing w:after="0" w:line="240" w:lineRule="auto"/>
        <w:jc w:val="both"/>
        <w:rPr>
          <w:rFonts w:ascii="Times New Roman" w:hAnsi="Times New Roman"/>
          <w:sz w:val="24"/>
          <w:szCs w:val="24"/>
        </w:rPr>
      </w:pPr>
      <w:r w:rsidRPr="00C667D6">
        <w:rPr>
          <w:rFonts w:ascii="Times New Roman" w:hAnsi="Times New Roman"/>
          <w:sz w:val="24"/>
          <w:szCs w:val="24"/>
        </w:rPr>
        <w:t xml:space="preserve">Τέλος, η </w:t>
      </w:r>
      <w:proofErr w:type="spellStart"/>
      <w:r w:rsidRPr="00C667D6">
        <w:rPr>
          <w:rFonts w:ascii="Times New Roman" w:hAnsi="Times New Roman"/>
          <w:sz w:val="24"/>
          <w:szCs w:val="24"/>
        </w:rPr>
        <w:t>επισκεψιμότητα</w:t>
      </w:r>
      <w:proofErr w:type="spellEnd"/>
      <w:r w:rsidRPr="00C667D6">
        <w:rPr>
          <w:rFonts w:ascii="Times New Roman" w:hAnsi="Times New Roman"/>
          <w:sz w:val="24"/>
          <w:szCs w:val="24"/>
        </w:rPr>
        <w:t xml:space="preserve">, σε οχτώ στις δέκα επιχειρήσεις δεν έχει αυξηθεί καθόλου από το γεγονός ότι παραμένουν ανοιχτά τις Κυριακές. Το 18% των επιχειρηματιών διακρίνει μία μικρή αύξηση, ενώ μόλις το 6% δηλώνει ότι το άνοιγμα της επιχείρησής του τις Κυριακές αύξησε κατά πολύ την </w:t>
      </w:r>
      <w:proofErr w:type="spellStart"/>
      <w:r w:rsidRPr="00C667D6">
        <w:rPr>
          <w:rFonts w:ascii="Times New Roman" w:hAnsi="Times New Roman"/>
          <w:sz w:val="24"/>
          <w:szCs w:val="24"/>
        </w:rPr>
        <w:t>επισκεψιμότητα</w:t>
      </w:r>
      <w:proofErr w:type="spellEnd"/>
      <w:r w:rsidRPr="00C667D6">
        <w:rPr>
          <w:rFonts w:ascii="Times New Roman" w:hAnsi="Times New Roman"/>
          <w:sz w:val="24"/>
          <w:szCs w:val="24"/>
        </w:rPr>
        <w:t xml:space="preserve">. </w:t>
      </w:r>
    </w:p>
    <w:p w:rsidR="007F099E" w:rsidRDefault="007F099E" w:rsidP="007F099E">
      <w:pPr>
        <w:spacing w:line="360" w:lineRule="atLeast"/>
        <w:jc w:val="both"/>
        <w:rPr>
          <w:rFonts w:ascii="Times New Roman" w:hAnsi="Times New Roman"/>
          <w:sz w:val="24"/>
          <w:szCs w:val="24"/>
        </w:rPr>
      </w:pPr>
    </w:p>
    <w:p w:rsidR="007F099E" w:rsidRDefault="007F099E" w:rsidP="007F099E">
      <w:pPr>
        <w:spacing w:line="360" w:lineRule="atLeast"/>
        <w:jc w:val="both"/>
        <w:rPr>
          <w:rFonts w:ascii="Times New Roman" w:hAnsi="Times New Roman"/>
          <w:sz w:val="24"/>
          <w:szCs w:val="24"/>
        </w:rPr>
      </w:pPr>
      <w:r w:rsidRPr="005C567A">
        <w:rPr>
          <w:rFonts w:ascii="Times New Roman" w:hAnsi="Times New Roman"/>
          <w:noProof/>
          <w:sz w:val="24"/>
          <w:szCs w:val="24"/>
          <w:lang w:eastAsia="el-GR"/>
        </w:rPr>
        <w:drawing>
          <wp:inline distT="0" distB="0" distL="0" distR="0">
            <wp:extent cx="5337810" cy="2686821"/>
            <wp:effectExtent l="19050" t="0" r="15240" b="0"/>
            <wp:docPr id="11"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099E" w:rsidRPr="00CF1E5D" w:rsidRDefault="007F099E" w:rsidP="00E64512">
      <w:pPr>
        <w:spacing w:after="0"/>
        <w:rPr>
          <w:rFonts w:ascii="Times New Roman" w:hAnsi="Times New Roman" w:cs="Times New Roman"/>
          <w:sz w:val="25"/>
          <w:szCs w:val="25"/>
        </w:rPr>
      </w:pPr>
    </w:p>
    <w:p w:rsidR="00C667D6" w:rsidRDefault="00C667D6" w:rsidP="00E64512">
      <w:pPr>
        <w:spacing w:after="0"/>
        <w:rPr>
          <w:rFonts w:ascii="Times New Roman" w:hAnsi="Times New Roman" w:cs="Times New Roman"/>
          <w:b/>
          <w:sz w:val="26"/>
          <w:szCs w:val="26"/>
          <w:lang w:val="en-US"/>
        </w:rPr>
      </w:pPr>
    </w:p>
    <w:p w:rsidR="00C667D6" w:rsidRDefault="00C667D6" w:rsidP="00E64512">
      <w:pPr>
        <w:spacing w:after="0"/>
        <w:rPr>
          <w:rFonts w:ascii="Times New Roman" w:hAnsi="Times New Roman" w:cs="Times New Roman"/>
          <w:b/>
          <w:sz w:val="26"/>
          <w:szCs w:val="26"/>
          <w:lang w:val="en-US"/>
        </w:rPr>
      </w:pPr>
    </w:p>
    <w:p w:rsidR="00C667D6" w:rsidRDefault="00C667D6" w:rsidP="00E64512">
      <w:pPr>
        <w:spacing w:after="0"/>
        <w:rPr>
          <w:rFonts w:ascii="Times New Roman" w:hAnsi="Times New Roman" w:cs="Times New Roman"/>
          <w:b/>
          <w:sz w:val="26"/>
          <w:szCs w:val="26"/>
          <w:lang w:val="en-US"/>
        </w:rPr>
      </w:pPr>
    </w:p>
    <w:p w:rsidR="00C667D6" w:rsidRDefault="00C667D6" w:rsidP="00E64512">
      <w:pPr>
        <w:spacing w:after="0"/>
        <w:rPr>
          <w:rFonts w:ascii="Times New Roman" w:hAnsi="Times New Roman" w:cs="Times New Roman"/>
          <w:b/>
          <w:sz w:val="26"/>
          <w:szCs w:val="26"/>
          <w:lang w:val="en-US"/>
        </w:rPr>
      </w:pPr>
    </w:p>
    <w:p w:rsidR="00C667D6" w:rsidRDefault="00C667D6" w:rsidP="00E64512">
      <w:pPr>
        <w:spacing w:after="0"/>
        <w:rPr>
          <w:rFonts w:ascii="Times New Roman" w:hAnsi="Times New Roman" w:cs="Times New Roman"/>
          <w:b/>
          <w:sz w:val="26"/>
          <w:szCs w:val="26"/>
          <w:lang w:val="en-US"/>
        </w:rPr>
      </w:pPr>
    </w:p>
    <w:p w:rsidR="00C667D6" w:rsidRDefault="00C667D6" w:rsidP="00E64512">
      <w:pPr>
        <w:spacing w:after="0"/>
        <w:rPr>
          <w:rFonts w:ascii="Times New Roman" w:hAnsi="Times New Roman" w:cs="Times New Roman"/>
          <w:b/>
          <w:sz w:val="26"/>
          <w:szCs w:val="26"/>
          <w:lang w:val="en-US"/>
        </w:rPr>
      </w:pPr>
    </w:p>
    <w:p w:rsidR="00C667D6" w:rsidRDefault="00C667D6" w:rsidP="00E64512">
      <w:pPr>
        <w:spacing w:after="0"/>
        <w:rPr>
          <w:rFonts w:ascii="Times New Roman" w:hAnsi="Times New Roman" w:cs="Times New Roman"/>
          <w:b/>
          <w:sz w:val="26"/>
          <w:szCs w:val="26"/>
          <w:lang w:val="en-US"/>
        </w:rPr>
      </w:pPr>
    </w:p>
    <w:p w:rsidR="00C667D6" w:rsidRDefault="00C667D6" w:rsidP="00E64512">
      <w:pPr>
        <w:spacing w:after="0"/>
        <w:rPr>
          <w:rFonts w:ascii="Times New Roman" w:hAnsi="Times New Roman" w:cs="Times New Roman"/>
          <w:b/>
          <w:sz w:val="26"/>
          <w:szCs w:val="26"/>
          <w:lang w:val="en-US"/>
        </w:rPr>
      </w:pPr>
    </w:p>
    <w:p w:rsidR="007F099E" w:rsidRPr="00C667D6" w:rsidRDefault="00BB63AC" w:rsidP="00E64512">
      <w:pPr>
        <w:spacing w:after="0"/>
        <w:rPr>
          <w:rFonts w:ascii="Times New Roman" w:hAnsi="Times New Roman" w:cs="Times New Roman"/>
          <w:b/>
          <w:sz w:val="26"/>
          <w:szCs w:val="26"/>
          <w:u w:val="single"/>
        </w:rPr>
      </w:pPr>
      <w:r>
        <w:rPr>
          <w:rFonts w:ascii="Times New Roman" w:hAnsi="Times New Roman" w:cs="Times New Roman"/>
          <w:b/>
          <w:sz w:val="26"/>
          <w:szCs w:val="26"/>
          <w:u w:val="single"/>
        </w:rPr>
        <w:t xml:space="preserve">Εκπτώσεις-κύκλος εργασιών και αποπληθωρισμός </w:t>
      </w:r>
    </w:p>
    <w:p w:rsidR="00540468" w:rsidRPr="00C667D6" w:rsidRDefault="00E06593" w:rsidP="00E64512">
      <w:pPr>
        <w:spacing w:before="120" w:after="0" w:line="240" w:lineRule="auto"/>
        <w:jc w:val="both"/>
        <w:rPr>
          <w:rFonts w:ascii="Times New Roman" w:hAnsi="Times New Roman" w:cs="Times New Roman"/>
          <w:sz w:val="24"/>
          <w:szCs w:val="24"/>
        </w:rPr>
      </w:pPr>
      <w:r w:rsidRPr="00C667D6">
        <w:rPr>
          <w:rFonts w:ascii="Times New Roman" w:hAnsi="Times New Roman" w:cs="Times New Roman"/>
          <w:sz w:val="24"/>
          <w:szCs w:val="24"/>
        </w:rPr>
        <w:t>Συνδυάζοντας</w:t>
      </w:r>
      <w:r w:rsidR="00CF1E5D" w:rsidRPr="00C667D6">
        <w:rPr>
          <w:rFonts w:ascii="Times New Roman" w:hAnsi="Times New Roman" w:cs="Times New Roman"/>
          <w:sz w:val="24"/>
          <w:szCs w:val="24"/>
        </w:rPr>
        <w:t xml:space="preserve"> τα παραπάνω στοιχεία με</w:t>
      </w:r>
      <w:r w:rsidRPr="00C667D6">
        <w:rPr>
          <w:rFonts w:ascii="Times New Roman" w:hAnsi="Times New Roman" w:cs="Times New Roman"/>
          <w:sz w:val="24"/>
          <w:szCs w:val="24"/>
        </w:rPr>
        <w:t xml:space="preserve"> το εύρημα </w:t>
      </w:r>
      <w:r w:rsidR="00332B9B" w:rsidRPr="00C667D6">
        <w:rPr>
          <w:rFonts w:ascii="Times New Roman" w:hAnsi="Times New Roman" w:cs="Times New Roman"/>
          <w:sz w:val="24"/>
          <w:szCs w:val="24"/>
        </w:rPr>
        <w:t>της πτώσης του</w:t>
      </w:r>
      <w:r w:rsidRPr="00C667D6">
        <w:rPr>
          <w:rFonts w:ascii="Times New Roman" w:hAnsi="Times New Roman" w:cs="Times New Roman"/>
          <w:sz w:val="24"/>
          <w:szCs w:val="24"/>
        </w:rPr>
        <w:t xml:space="preserve"> επιπέδου των τιμών  για 35ο συνεχή μήνα σύμφωνα με το Γενικό Δείκτη Τιμών Καταναλωτή (ΓΔΤΚ) της ΕΛ.ΣΤΑΤ, γίνεται σαφές ότι αυτή η επιμονή των αποπληθωριστικών πιέσεων διαμορφώνει αρνητικές προσδοκίες νοικοκυριών και επιχειρήσεων, με την οικονομία να εγκλωβίζεται σε ατέρμονα κύκλο (αποπληθωριστικό σπιράλ) αλλεπάλληλων μειώσεων τιμών και μισθών.</w:t>
      </w:r>
    </w:p>
    <w:p w:rsidR="00BF7604" w:rsidRPr="00BF7604" w:rsidRDefault="00BF7604" w:rsidP="00BF7604">
      <w:pPr>
        <w:autoSpaceDE w:val="0"/>
        <w:autoSpaceDN w:val="0"/>
        <w:adjustRightInd w:val="0"/>
        <w:spacing w:after="0" w:line="360" w:lineRule="atLeast"/>
        <w:ind w:right="-96"/>
        <w:jc w:val="both"/>
        <w:rPr>
          <w:rFonts w:ascii="Cambria" w:hAnsi="Cambria" w:cs="Cambria"/>
          <w:sz w:val="20"/>
          <w:szCs w:val="20"/>
          <w:highlight w:val="white"/>
        </w:rPr>
      </w:pPr>
      <w:r>
        <w:rPr>
          <w:rFonts w:ascii="Cambria" w:hAnsi="Cambria" w:cs="Cambria"/>
          <w:b/>
          <w:sz w:val="20"/>
          <w:szCs w:val="20"/>
          <w:highlight w:val="white"/>
        </w:rPr>
        <w:t xml:space="preserve">              </w:t>
      </w:r>
      <w:r w:rsidR="00540468">
        <w:rPr>
          <w:rFonts w:ascii="Cambria" w:hAnsi="Cambria" w:cs="Cambria"/>
          <w:b/>
          <w:sz w:val="20"/>
          <w:szCs w:val="20"/>
          <w:highlight w:val="white"/>
        </w:rPr>
        <w:t>Διάγραμμα 1</w:t>
      </w:r>
      <w:r w:rsidRPr="00BF7604">
        <w:rPr>
          <w:rFonts w:ascii="Cambria" w:hAnsi="Cambria" w:cs="Cambria"/>
          <w:b/>
          <w:sz w:val="20"/>
          <w:szCs w:val="20"/>
          <w:highlight w:val="white"/>
        </w:rPr>
        <w:t>:</w:t>
      </w:r>
      <w:r w:rsidRPr="00BF7604">
        <w:rPr>
          <w:rFonts w:ascii="Cambria" w:hAnsi="Cambria" w:cs="Cambria"/>
          <w:sz w:val="20"/>
          <w:szCs w:val="20"/>
          <w:highlight w:val="white"/>
        </w:rPr>
        <w:t xml:space="preserve"> Εξέλιξη του πληθωρισμού στην Ελλάδα, βάσει ΓΔΤΚ (σε %)</w:t>
      </w:r>
    </w:p>
    <w:p w:rsidR="00E06593" w:rsidRPr="00E06593" w:rsidRDefault="00BF7604" w:rsidP="00BF7604">
      <w:pPr>
        <w:spacing w:before="120" w:after="0" w:line="240" w:lineRule="auto"/>
        <w:jc w:val="center"/>
        <w:rPr>
          <w:rFonts w:ascii="Times New Roman" w:hAnsi="Times New Roman" w:cs="Times New Roman"/>
          <w:sz w:val="25"/>
          <w:szCs w:val="25"/>
          <w:highlight w:val="yellow"/>
        </w:rPr>
      </w:pPr>
      <w:r w:rsidRPr="00BF7604">
        <w:rPr>
          <w:rFonts w:ascii="Times New Roman" w:hAnsi="Times New Roman" w:cs="Times New Roman"/>
          <w:noProof/>
          <w:sz w:val="25"/>
          <w:szCs w:val="25"/>
          <w:lang w:eastAsia="el-GR"/>
        </w:rPr>
        <w:drawing>
          <wp:inline distT="0" distB="0" distL="0" distR="0">
            <wp:extent cx="4399742" cy="2507673"/>
            <wp:effectExtent l="19050" t="0" r="19858" b="6927"/>
            <wp:docPr id="25"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0468" w:rsidRDefault="00540468" w:rsidP="00E06593">
      <w:pPr>
        <w:spacing w:before="120" w:after="0" w:line="240" w:lineRule="auto"/>
        <w:jc w:val="both"/>
        <w:rPr>
          <w:rFonts w:ascii="Times New Roman" w:hAnsi="Times New Roman" w:cs="Times New Roman"/>
          <w:sz w:val="25"/>
          <w:szCs w:val="25"/>
        </w:rPr>
      </w:pPr>
    </w:p>
    <w:p w:rsidR="00E06593" w:rsidRPr="00BB63AC" w:rsidRDefault="00E06593" w:rsidP="00401EB4">
      <w:pPr>
        <w:spacing w:before="120" w:after="240" w:line="240" w:lineRule="auto"/>
        <w:jc w:val="both"/>
        <w:rPr>
          <w:rFonts w:ascii="Times New Roman" w:hAnsi="Times New Roman" w:cs="Times New Roman"/>
          <w:sz w:val="24"/>
          <w:szCs w:val="24"/>
          <w:u w:val="single"/>
        </w:rPr>
      </w:pPr>
      <w:r w:rsidRPr="00BB63AC">
        <w:rPr>
          <w:rFonts w:ascii="Times New Roman" w:hAnsi="Times New Roman" w:cs="Times New Roman"/>
          <w:sz w:val="24"/>
          <w:szCs w:val="24"/>
        </w:rPr>
        <w:t xml:space="preserve">Η </w:t>
      </w:r>
      <w:proofErr w:type="spellStart"/>
      <w:r w:rsidRPr="00BB63AC">
        <w:rPr>
          <w:rFonts w:ascii="Times New Roman" w:hAnsi="Times New Roman" w:cs="Times New Roman"/>
          <w:sz w:val="24"/>
          <w:szCs w:val="24"/>
        </w:rPr>
        <w:t>μεσοσταθμική</w:t>
      </w:r>
      <w:proofErr w:type="spellEnd"/>
      <w:r w:rsidRPr="00BB63AC">
        <w:rPr>
          <w:rFonts w:ascii="Times New Roman" w:hAnsi="Times New Roman" w:cs="Times New Roman"/>
          <w:sz w:val="24"/>
          <w:szCs w:val="24"/>
        </w:rPr>
        <w:t xml:space="preserve"> μείωση της αγοραστικής κίνησης το 2016 σε σχέση με τις χειμερινές εκπτώσεις του 2015 (Ιανουάριος-Φεβρουάριος 201</w:t>
      </w:r>
      <w:r w:rsidR="00540468" w:rsidRPr="00BB63AC">
        <w:rPr>
          <w:rFonts w:ascii="Times New Roman" w:hAnsi="Times New Roman" w:cs="Times New Roman"/>
          <w:sz w:val="24"/>
          <w:szCs w:val="24"/>
        </w:rPr>
        <w:t>5</w:t>
      </w:r>
      <w:r w:rsidRPr="00BB63AC">
        <w:rPr>
          <w:rFonts w:ascii="Times New Roman" w:hAnsi="Times New Roman" w:cs="Times New Roman"/>
          <w:sz w:val="24"/>
          <w:szCs w:val="24"/>
        </w:rPr>
        <w:t>: τζίρος σε απόλυτα νούμερα </w:t>
      </w:r>
      <w:r w:rsidR="00540468" w:rsidRPr="00BB63AC">
        <w:rPr>
          <w:rStyle w:val="s8"/>
          <w:rFonts w:ascii="Times New Roman" w:hAnsi="Times New Roman" w:cs="Times New Roman"/>
          <w:b/>
          <w:bCs/>
          <w:sz w:val="24"/>
          <w:szCs w:val="24"/>
        </w:rPr>
        <w:t>5,</w:t>
      </w:r>
      <w:r w:rsidR="00B32244" w:rsidRPr="00BB63AC">
        <w:rPr>
          <w:rStyle w:val="s8"/>
          <w:rFonts w:ascii="Times New Roman" w:hAnsi="Times New Roman" w:cs="Times New Roman"/>
          <w:b/>
          <w:bCs/>
          <w:sz w:val="24"/>
          <w:szCs w:val="24"/>
        </w:rPr>
        <w:t>67</w:t>
      </w:r>
      <w:r w:rsidRPr="00BB63AC">
        <w:rPr>
          <w:rStyle w:val="s8"/>
          <w:rFonts w:ascii="Times New Roman" w:hAnsi="Times New Roman" w:cs="Times New Roman"/>
          <w:b/>
          <w:bCs/>
          <w:sz w:val="24"/>
          <w:szCs w:val="24"/>
        </w:rPr>
        <w:t xml:space="preserve"> δις ευρώ </w:t>
      </w:r>
      <w:r w:rsidRPr="00BB63AC">
        <w:rPr>
          <w:rFonts w:ascii="Times New Roman" w:hAnsi="Times New Roman" w:cs="Times New Roman"/>
          <w:sz w:val="24"/>
          <w:szCs w:val="24"/>
        </w:rPr>
        <w:t>και </w:t>
      </w:r>
      <w:r w:rsidRPr="00BB63AC">
        <w:rPr>
          <w:rStyle w:val="s8"/>
          <w:rFonts w:ascii="Times New Roman" w:hAnsi="Times New Roman" w:cs="Times New Roman"/>
          <w:b/>
          <w:bCs/>
          <w:sz w:val="24"/>
          <w:szCs w:val="24"/>
        </w:rPr>
        <w:t>μείωση</w:t>
      </w:r>
      <w:r w:rsidRPr="00BB63AC">
        <w:rPr>
          <w:rFonts w:ascii="Times New Roman" w:hAnsi="Times New Roman" w:cs="Times New Roman"/>
          <w:sz w:val="24"/>
          <w:szCs w:val="24"/>
        </w:rPr>
        <w:t> -</w:t>
      </w:r>
      <w:r w:rsidR="00540468" w:rsidRPr="00BB63AC">
        <w:rPr>
          <w:rFonts w:ascii="Times New Roman" w:hAnsi="Times New Roman" w:cs="Times New Roman"/>
          <w:sz w:val="24"/>
          <w:szCs w:val="24"/>
        </w:rPr>
        <w:t>2,4</w:t>
      </w:r>
      <w:r w:rsidRPr="00BB63AC">
        <w:rPr>
          <w:rFonts w:ascii="Times New Roman" w:hAnsi="Times New Roman" w:cs="Times New Roman"/>
          <w:sz w:val="24"/>
          <w:szCs w:val="24"/>
        </w:rPr>
        <w:t>% σε σχέση με την αντίστοιχη περίοδο του 201</w:t>
      </w:r>
      <w:r w:rsidR="00B32244" w:rsidRPr="00BB63AC">
        <w:rPr>
          <w:rFonts w:ascii="Times New Roman" w:hAnsi="Times New Roman" w:cs="Times New Roman"/>
          <w:sz w:val="24"/>
          <w:szCs w:val="24"/>
        </w:rPr>
        <w:t>4</w:t>
      </w:r>
      <w:r w:rsidRPr="00326570">
        <w:rPr>
          <w:rFonts w:ascii="Times New Roman" w:hAnsi="Times New Roman" w:cs="Times New Roman"/>
          <w:sz w:val="24"/>
          <w:szCs w:val="24"/>
        </w:rPr>
        <w:t>), κυμαίνεται στα επίπεδα του -</w:t>
      </w:r>
      <w:r w:rsidR="00364DC5" w:rsidRPr="00326570">
        <w:rPr>
          <w:rFonts w:ascii="Times New Roman" w:hAnsi="Times New Roman" w:cs="Times New Roman"/>
          <w:sz w:val="24"/>
          <w:szCs w:val="24"/>
        </w:rPr>
        <w:t>20,8</w:t>
      </w:r>
      <w:r w:rsidRPr="00326570">
        <w:rPr>
          <w:rFonts w:ascii="Times New Roman" w:hAnsi="Times New Roman" w:cs="Times New Roman"/>
          <w:sz w:val="24"/>
          <w:szCs w:val="24"/>
        </w:rPr>
        <w:t xml:space="preserve">%, ενώ θα πρέπει να σημειωθεί πως ο εκτιμώμενος τζίρος για τη χειμερινή εκπτωτική περίοδο θα διαμορφωθεί το </w:t>
      </w:r>
      <w:r w:rsidR="00540468" w:rsidRPr="00326570">
        <w:rPr>
          <w:rFonts w:ascii="Times New Roman" w:hAnsi="Times New Roman" w:cs="Times New Roman"/>
          <w:sz w:val="24"/>
          <w:szCs w:val="24"/>
        </w:rPr>
        <w:t>2016</w:t>
      </w:r>
      <w:r w:rsidRPr="00326570">
        <w:rPr>
          <w:rFonts w:ascii="Times New Roman" w:hAnsi="Times New Roman" w:cs="Times New Roman"/>
          <w:sz w:val="24"/>
          <w:szCs w:val="24"/>
        </w:rPr>
        <w:t xml:space="preserve"> περίπου στα </w:t>
      </w:r>
      <w:r w:rsidR="00540468" w:rsidRPr="00326570">
        <w:rPr>
          <w:rFonts w:ascii="Times New Roman" w:hAnsi="Times New Roman" w:cs="Times New Roman"/>
          <w:sz w:val="24"/>
          <w:szCs w:val="24"/>
        </w:rPr>
        <w:t>4,</w:t>
      </w:r>
      <w:r w:rsidR="00EF2778" w:rsidRPr="00326570">
        <w:rPr>
          <w:rFonts w:ascii="Times New Roman" w:hAnsi="Times New Roman" w:cs="Times New Roman"/>
          <w:sz w:val="24"/>
          <w:szCs w:val="24"/>
        </w:rPr>
        <w:t>4</w:t>
      </w:r>
      <w:r w:rsidR="00326570">
        <w:rPr>
          <w:rFonts w:ascii="Times New Roman" w:hAnsi="Times New Roman" w:cs="Times New Roman"/>
          <w:sz w:val="24"/>
          <w:szCs w:val="24"/>
        </w:rPr>
        <w:t>9</w:t>
      </w:r>
      <w:r w:rsidRPr="00326570">
        <w:rPr>
          <w:rFonts w:ascii="Times New Roman" w:hAnsi="Times New Roman" w:cs="Times New Roman"/>
          <w:sz w:val="24"/>
          <w:szCs w:val="24"/>
        </w:rPr>
        <w:t xml:space="preserve"> δις ευρώ, </w:t>
      </w:r>
      <w:r w:rsidRPr="00326570">
        <w:rPr>
          <w:rStyle w:val="s8"/>
          <w:rFonts w:ascii="Times New Roman" w:hAnsi="Times New Roman" w:cs="Times New Roman"/>
          <w:b/>
          <w:bCs/>
          <w:sz w:val="24"/>
          <w:szCs w:val="24"/>
        </w:rPr>
        <w:t>καταγράφοντας απώλειες </w:t>
      </w:r>
      <w:r w:rsidR="00540468" w:rsidRPr="00326570">
        <w:rPr>
          <w:rFonts w:ascii="Times New Roman" w:hAnsi="Times New Roman" w:cs="Times New Roman"/>
          <w:b/>
          <w:bCs/>
          <w:sz w:val="24"/>
          <w:szCs w:val="24"/>
        </w:rPr>
        <w:t>1</w:t>
      </w:r>
      <w:r w:rsidR="00B32244" w:rsidRPr="00326570">
        <w:rPr>
          <w:rFonts w:ascii="Times New Roman" w:hAnsi="Times New Roman" w:cs="Times New Roman"/>
          <w:b/>
          <w:bCs/>
          <w:sz w:val="24"/>
          <w:szCs w:val="24"/>
        </w:rPr>
        <w:t>,</w:t>
      </w:r>
      <w:r w:rsidR="00326570" w:rsidRPr="00326570">
        <w:rPr>
          <w:rFonts w:ascii="Times New Roman" w:hAnsi="Times New Roman" w:cs="Times New Roman"/>
          <w:b/>
          <w:bCs/>
          <w:sz w:val="24"/>
          <w:szCs w:val="24"/>
        </w:rPr>
        <w:t>18</w:t>
      </w:r>
      <w:r w:rsidR="00B32244" w:rsidRPr="00326570">
        <w:rPr>
          <w:rFonts w:ascii="Times New Roman" w:hAnsi="Times New Roman" w:cs="Times New Roman"/>
          <w:b/>
          <w:bCs/>
          <w:sz w:val="24"/>
          <w:szCs w:val="24"/>
        </w:rPr>
        <w:t xml:space="preserve"> δις</w:t>
      </w:r>
      <w:r w:rsidRPr="00326570">
        <w:rPr>
          <w:rFonts w:ascii="Times New Roman" w:hAnsi="Times New Roman" w:cs="Times New Roman"/>
          <w:b/>
          <w:bCs/>
          <w:sz w:val="24"/>
          <w:szCs w:val="24"/>
        </w:rPr>
        <w:t> ευρώ</w:t>
      </w:r>
      <w:r w:rsidRPr="00326570">
        <w:rPr>
          <w:rFonts w:ascii="Times New Roman" w:hAnsi="Times New Roman" w:cs="Times New Roman"/>
          <w:sz w:val="24"/>
          <w:szCs w:val="24"/>
        </w:rPr>
        <w:t> (μείωση -</w:t>
      </w:r>
      <w:r w:rsidR="00364DC5" w:rsidRPr="00326570">
        <w:rPr>
          <w:rFonts w:ascii="Times New Roman" w:hAnsi="Times New Roman" w:cs="Times New Roman"/>
          <w:sz w:val="24"/>
          <w:szCs w:val="24"/>
        </w:rPr>
        <w:t>20,8</w:t>
      </w:r>
      <w:r w:rsidRPr="00326570">
        <w:rPr>
          <w:rFonts w:ascii="Times New Roman" w:hAnsi="Times New Roman" w:cs="Times New Roman"/>
          <w:sz w:val="24"/>
          <w:szCs w:val="24"/>
        </w:rPr>
        <w:t xml:space="preserve">% σε σχέση με τις Χειμερινές Εκπτώσεις του </w:t>
      </w:r>
      <w:r w:rsidR="00540468" w:rsidRPr="00326570">
        <w:rPr>
          <w:rFonts w:ascii="Times New Roman" w:hAnsi="Times New Roman" w:cs="Times New Roman"/>
          <w:sz w:val="24"/>
          <w:szCs w:val="24"/>
        </w:rPr>
        <w:t>2015</w:t>
      </w:r>
      <w:r w:rsidRPr="00326570">
        <w:rPr>
          <w:rFonts w:ascii="Times New Roman" w:hAnsi="Times New Roman" w:cs="Times New Roman"/>
          <w:sz w:val="24"/>
          <w:szCs w:val="24"/>
        </w:rPr>
        <w:t>).</w:t>
      </w:r>
      <w:r w:rsidRPr="00BB63AC">
        <w:rPr>
          <w:rFonts w:ascii="Times New Roman" w:hAnsi="Times New Roman" w:cs="Times New Roman"/>
          <w:sz w:val="24"/>
          <w:szCs w:val="24"/>
        </w:rPr>
        <w:t> </w:t>
      </w:r>
      <w:r w:rsidR="006F0993">
        <w:rPr>
          <w:rFonts w:ascii="Times New Roman" w:hAnsi="Times New Roman" w:cs="Times New Roman"/>
          <w:sz w:val="24"/>
          <w:szCs w:val="24"/>
          <w:u w:val="single"/>
        </w:rPr>
        <w:t>Να σημειωθεί</w:t>
      </w:r>
      <w:r w:rsidR="00540468" w:rsidRPr="00BB63AC">
        <w:rPr>
          <w:rFonts w:ascii="Times New Roman" w:hAnsi="Times New Roman" w:cs="Times New Roman"/>
          <w:sz w:val="24"/>
          <w:szCs w:val="24"/>
          <w:u w:val="single"/>
        </w:rPr>
        <w:t xml:space="preserve"> το εξής: κάθε χρόνο αναφέρουμε την πορεία του τζίρου σύμφωνα με τις εκτιμήσεις των εμπορικών επιχειρήσεων οι οποίες είναι πολύ πιο απαισιόδοξες από τα πραγματικά δεδομένα τα οποία όταν δημοσιοποιούνται από την ΕΛΣΤΑΤ τα ενσωματώ</w:t>
      </w:r>
      <w:r w:rsidR="00EF2778" w:rsidRPr="00BB63AC">
        <w:rPr>
          <w:rFonts w:ascii="Times New Roman" w:hAnsi="Times New Roman" w:cs="Times New Roman"/>
          <w:sz w:val="24"/>
          <w:szCs w:val="24"/>
          <w:u w:val="single"/>
        </w:rPr>
        <w:t xml:space="preserve">νουμε στον παρακάτω πίνακα. </w:t>
      </w:r>
      <w:proofErr w:type="spellStart"/>
      <w:r w:rsidR="00EF2778" w:rsidRPr="00BB63AC">
        <w:rPr>
          <w:rFonts w:ascii="Times New Roman" w:hAnsi="Times New Roman" w:cs="Times New Roman"/>
          <w:sz w:val="24"/>
          <w:szCs w:val="24"/>
          <w:u w:val="single"/>
        </w:rPr>
        <w:t>Παρ΄</w:t>
      </w:r>
      <w:proofErr w:type="spellEnd"/>
      <w:r w:rsidR="00EF2778" w:rsidRPr="00BB63AC">
        <w:rPr>
          <w:rFonts w:ascii="Times New Roman" w:hAnsi="Times New Roman" w:cs="Times New Roman"/>
          <w:sz w:val="24"/>
          <w:szCs w:val="24"/>
          <w:u w:val="single"/>
        </w:rPr>
        <w:t xml:space="preserve"> </w:t>
      </w:r>
      <w:proofErr w:type="spellStart"/>
      <w:r w:rsidR="00540468" w:rsidRPr="00BB63AC">
        <w:rPr>
          <w:rFonts w:ascii="Times New Roman" w:hAnsi="Times New Roman" w:cs="Times New Roman"/>
          <w:sz w:val="24"/>
          <w:szCs w:val="24"/>
          <w:u w:val="single"/>
        </w:rPr>
        <w:t>ολα</w:t>
      </w:r>
      <w:proofErr w:type="spellEnd"/>
      <w:r w:rsidR="00540468" w:rsidRPr="00BB63AC">
        <w:rPr>
          <w:rFonts w:ascii="Times New Roman" w:hAnsi="Times New Roman" w:cs="Times New Roman"/>
          <w:sz w:val="24"/>
          <w:szCs w:val="24"/>
          <w:u w:val="single"/>
        </w:rPr>
        <w:t xml:space="preserve"> αυτά, η τάση δεν αλλάζει δηλαδή η πτώση του τζίρου τα τελευταία χρόνια επαληθεύεται τόσο από τις εκτιμήσεις των επιχειρήσεων όσο και από τα πραγματικά δεδομένα. </w:t>
      </w:r>
    </w:p>
    <w:tbl>
      <w:tblPr>
        <w:tblW w:w="1042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709"/>
        <w:gridCol w:w="709"/>
        <w:gridCol w:w="850"/>
        <w:gridCol w:w="993"/>
        <w:gridCol w:w="992"/>
        <w:gridCol w:w="1134"/>
        <w:gridCol w:w="850"/>
        <w:gridCol w:w="993"/>
        <w:gridCol w:w="1353"/>
      </w:tblGrid>
      <w:tr w:rsidR="00B32244" w:rsidRPr="00B32244" w:rsidTr="00C667D6">
        <w:trPr>
          <w:trHeight w:val="707"/>
        </w:trPr>
        <w:tc>
          <w:tcPr>
            <w:tcW w:w="10426" w:type="dxa"/>
            <w:gridSpan w:val="10"/>
            <w:shd w:val="clear" w:color="auto" w:fill="BFBFBF"/>
            <w:vAlign w:val="bottom"/>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b/>
              </w:rPr>
              <w:t>Πίνακας 1:</w:t>
            </w:r>
            <w:r w:rsidRPr="00364DC5">
              <w:rPr>
                <w:rFonts w:ascii="Times New Roman" w:hAnsi="Times New Roman"/>
              </w:rPr>
              <w:t xml:space="preserve">  Διαχρονική εξέλιξη τζίρου σε καταστήματα λιανικής, κατά την περίοδο των χειμερινών εκπτώσεων </w:t>
            </w:r>
          </w:p>
          <w:p w:rsidR="00B32244" w:rsidRPr="00364DC5" w:rsidRDefault="00B32244" w:rsidP="00C667D6">
            <w:pPr>
              <w:tabs>
                <w:tab w:val="num" w:pos="-7938"/>
                <w:tab w:val="num" w:pos="426"/>
              </w:tabs>
              <w:spacing w:after="0" w:line="240" w:lineRule="auto"/>
              <w:jc w:val="center"/>
              <w:rPr>
                <w:rFonts w:ascii="Times New Roman" w:hAnsi="Times New Roman"/>
                <w:i/>
                <w:lang w:val="en-US"/>
              </w:rPr>
            </w:pPr>
            <w:r w:rsidRPr="00364DC5">
              <w:rPr>
                <w:rFonts w:ascii="Times New Roman" w:hAnsi="Times New Roman"/>
              </w:rPr>
              <w:t>(Ιανουάριος - Φεβρουάριος)</w:t>
            </w:r>
          </w:p>
        </w:tc>
      </w:tr>
      <w:tr w:rsidR="00B32244" w:rsidRPr="00B32244" w:rsidTr="00C667D6">
        <w:trPr>
          <w:trHeight w:val="558"/>
        </w:trPr>
        <w:tc>
          <w:tcPr>
            <w:tcW w:w="1843" w:type="dxa"/>
            <w:vMerge w:val="restart"/>
            <w:shd w:val="clear" w:color="auto" w:fill="BFBFBF"/>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Σε απόλυτα ποσά</w:t>
            </w:r>
          </w:p>
          <w:p w:rsidR="00B32244" w:rsidRPr="00B32244" w:rsidRDefault="00B32244" w:rsidP="00C667D6">
            <w:pPr>
              <w:tabs>
                <w:tab w:val="num" w:pos="-7938"/>
                <w:tab w:val="num" w:pos="426"/>
              </w:tabs>
              <w:spacing w:after="0" w:line="240" w:lineRule="auto"/>
              <w:jc w:val="center"/>
              <w:rPr>
                <w:rFonts w:ascii="Times New Roman" w:hAnsi="Times New Roman"/>
                <w:b/>
                <w:highlight w:val="yellow"/>
              </w:rPr>
            </w:pPr>
            <w:r w:rsidRPr="00364DC5">
              <w:rPr>
                <w:rFonts w:ascii="Times New Roman" w:hAnsi="Times New Roman"/>
                <w:b/>
              </w:rPr>
              <w:t>(προβολές σε δις ευρώ)</w:t>
            </w:r>
          </w:p>
        </w:tc>
        <w:tc>
          <w:tcPr>
            <w:tcW w:w="709" w:type="dxa"/>
            <w:vAlign w:val="center"/>
          </w:tcPr>
          <w:p w:rsidR="00B32244" w:rsidRPr="00B32244" w:rsidRDefault="00B32244" w:rsidP="00C667D6">
            <w:pPr>
              <w:tabs>
                <w:tab w:val="num" w:pos="-7938"/>
                <w:tab w:val="num" w:pos="426"/>
              </w:tabs>
              <w:spacing w:after="0" w:line="240" w:lineRule="auto"/>
              <w:jc w:val="center"/>
              <w:rPr>
                <w:rFonts w:ascii="Times New Roman" w:hAnsi="Times New Roman"/>
                <w:b/>
                <w:highlight w:val="yellow"/>
              </w:rPr>
            </w:pPr>
            <w:r w:rsidRPr="00364DC5">
              <w:rPr>
                <w:rFonts w:ascii="Times New Roman" w:hAnsi="Times New Roman"/>
                <w:b/>
              </w:rPr>
              <w:t>2008</w:t>
            </w:r>
          </w:p>
        </w:tc>
        <w:tc>
          <w:tcPr>
            <w:tcW w:w="709"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2009</w:t>
            </w:r>
          </w:p>
        </w:tc>
        <w:tc>
          <w:tcPr>
            <w:tcW w:w="850"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2010</w:t>
            </w:r>
          </w:p>
        </w:tc>
        <w:tc>
          <w:tcPr>
            <w:tcW w:w="993"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2011</w:t>
            </w:r>
          </w:p>
        </w:tc>
        <w:tc>
          <w:tcPr>
            <w:tcW w:w="992"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2012</w:t>
            </w:r>
          </w:p>
        </w:tc>
        <w:tc>
          <w:tcPr>
            <w:tcW w:w="1134"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2013</w:t>
            </w:r>
          </w:p>
        </w:tc>
        <w:tc>
          <w:tcPr>
            <w:tcW w:w="850"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 xml:space="preserve">2014 </w:t>
            </w:r>
          </w:p>
        </w:tc>
        <w:tc>
          <w:tcPr>
            <w:tcW w:w="993"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 xml:space="preserve">2015 </w:t>
            </w:r>
          </w:p>
        </w:tc>
        <w:tc>
          <w:tcPr>
            <w:tcW w:w="1353" w:type="dxa"/>
            <w:vAlign w:val="center"/>
          </w:tcPr>
          <w:p w:rsidR="00B32244" w:rsidRPr="00B32244" w:rsidRDefault="00326570" w:rsidP="00C667D6">
            <w:pPr>
              <w:tabs>
                <w:tab w:val="num" w:pos="-7938"/>
                <w:tab w:val="num" w:pos="426"/>
              </w:tabs>
              <w:spacing w:after="0" w:line="240" w:lineRule="auto"/>
              <w:jc w:val="center"/>
              <w:rPr>
                <w:rFonts w:ascii="Times New Roman" w:hAnsi="Times New Roman"/>
                <w:b/>
                <w:highlight w:val="yellow"/>
              </w:rPr>
            </w:pPr>
            <w:r w:rsidRPr="001630AE">
              <w:rPr>
                <w:rFonts w:ascii="Times New Roman" w:hAnsi="Times New Roman"/>
                <w:b/>
              </w:rPr>
              <w:t>201</w:t>
            </w:r>
            <w:r>
              <w:rPr>
                <w:rFonts w:ascii="Times New Roman" w:hAnsi="Times New Roman"/>
                <w:b/>
              </w:rPr>
              <w:t>6</w:t>
            </w:r>
            <w:r w:rsidRPr="001630AE">
              <w:rPr>
                <w:rFonts w:ascii="Times New Roman" w:hAnsi="Times New Roman"/>
                <w:b/>
              </w:rPr>
              <w:t xml:space="preserve"> </w:t>
            </w:r>
            <w:r w:rsidRPr="0016748C">
              <w:rPr>
                <w:rFonts w:ascii="Times New Roman" w:hAnsi="Times New Roman"/>
                <w:i/>
                <w:sz w:val="21"/>
                <w:szCs w:val="21"/>
              </w:rPr>
              <w:t>(εκτίμηση)</w:t>
            </w:r>
          </w:p>
        </w:tc>
      </w:tr>
      <w:tr w:rsidR="00B32244" w:rsidRPr="00B32244" w:rsidTr="00C667D6">
        <w:trPr>
          <w:trHeight w:val="455"/>
        </w:trPr>
        <w:tc>
          <w:tcPr>
            <w:tcW w:w="1843" w:type="dxa"/>
            <w:vMerge/>
            <w:shd w:val="clear" w:color="auto" w:fill="BFBFBF"/>
          </w:tcPr>
          <w:p w:rsidR="00B32244" w:rsidRPr="00B32244" w:rsidRDefault="00B32244" w:rsidP="00C667D6">
            <w:pPr>
              <w:tabs>
                <w:tab w:val="num" w:pos="-7938"/>
                <w:tab w:val="num" w:pos="426"/>
              </w:tabs>
              <w:spacing w:after="0" w:line="240" w:lineRule="auto"/>
              <w:jc w:val="both"/>
              <w:rPr>
                <w:rFonts w:ascii="Times New Roman" w:hAnsi="Times New Roman"/>
                <w:b/>
                <w:highlight w:val="yellow"/>
              </w:rPr>
            </w:pPr>
          </w:p>
        </w:tc>
        <w:tc>
          <w:tcPr>
            <w:tcW w:w="709" w:type="dxa"/>
            <w:vAlign w:val="center"/>
          </w:tcPr>
          <w:p w:rsidR="00B32244" w:rsidRPr="00B32244" w:rsidRDefault="00B32244" w:rsidP="00C667D6">
            <w:pPr>
              <w:tabs>
                <w:tab w:val="num" w:pos="-7938"/>
                <w:tab w:val="num" w:pos="426"/>
              </w:tabs>
              <w:spacing w:after="0" w:line="240" w:lineRule="auto"/>
              <w:jc w:val="center"/>
              <w:rPr>
                <w:rFonts w:ascii="Times New Roman" w:hAnsi="Times New Roman"/>
                <w:highlight w:val="yellow"/>
              </w:rPr>
            </w:pPr>
            <w:r w:rsidRPr="00364DC5">
              <w:rPr>
                <w:rFonts w:ascii="Times New Roman" w:hAnsi="Times New Roman"/>
              </w:rPr>
              <w:t>8,83</w:t>
            </w:r>
          </w:p>
        </w:tc>
        <w:tc>
          <w:tcPr>
            <w:tcW w:w="709"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7,80</w:t>
            </w:r>
          </w:p>
        </w:tc>
        <w:tc>
          <w:tcPr>
            <w:tcW w:w="850"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8,32</w:t>
            </w:r>
          </w:p>
        </w:tc>
        <w:tc>
          <w:tcPr>
            <w:tcW w:w="993"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7,54</w:t>
            </w:r>
          </w:p>
        </w:tc>
        <w:tc>
          <w:tcPr>
            <w:tcW w:w="992"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6,90</w:t>
            </w:r>
          </w:p>
        </w:tc>
        <w:tc>
          <w:tcPr>
            <w:tcW w:w="1134"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5,89</w:t>
            </w:r>
          </w:p>
        </w:tc>
        <w:tc>
          <w:tcPr>
            <w:tcW w:w="850"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lang w:val="en-US"/>
              </w:rPr>
            </w:pPr>
            <w:r w:rsidRPr="00364DC5">
              <w:rPr>
                <w:rFonts w:ascii="Times New Roman" w:hAnsi="Times New Roman"/>
                <w:lang w:val="en-US"/>
              </w:rPr>
              <w:t>5</w:t>
            </w:r>
            <w:r w:rsidRPr="00364DC5">
              <w:rPr>
                <w:rFonts w:ascii="Times New Roman" w:hAnsi="Times New Roman"/>
              </w:rPr>
              <w:t>,81</w:t>
            </w:r>
          </w:p>
        </w:tc>
        <w:tc>
          <w:tcPr>
            <w:tcW w:w="993" w:type="dxa"/>
            <w:shd w:val="clear" w:color="auto" w:fill="auto"/>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5</w:t>
            </w:r>
            <w:r w:rsidRPr="00364DC5">
              <w:rPr>
                <w:rFonts w:ascii="Times New Roman" w:hAnsi="Times New Roman"/>
                <w:lang w:val="en-US"/>
              </w:rPr>
              <w:t>,</w:t>
            </w:r>
            <w:r w:rsidRPr="00364DC5">
              <w:rPr>
                <w:rFonts w:ascii="Times New Roman" w:hAnsi="Times New Roman"/>
              </w:rPr>
              <w:t>67</w:t>
            </w:r>
          </w:p>
        </w:tc>
        <w:tc>
          <w:tcPr>
            <w:tcW w:w="1353" w:type="dxa"/>
            <w:vAlign w:val="center"/>
          </w:tcPr>
          <w:p w:rsidR="00B32244" w:rsidRPr="00B32244" w:rsidRDefault="00326570" w:rsidP="00C667D6">
            <w:pPr>
              <w:tabs>
                <w:tab w:val="num" w:pos="-7938"/>
                <w:tab w:val="num" w:pos="426"/>
              </w:tabs>
              <w:spacing w:after="0" w:line="240" w:lineRule="auto"/>
              <w:jc w:val="center"/>
              <w:rPr>
                <w:rFonts w:ascii="Times New Roman" w:hAnsi="Times New Roman"/>
                <w:b/>
                <w:highlight w:val="yellow"/>
              </w:rPr>
            </w:pPr>
            <w:r w:rsidRPr="00326570">
              <w:rPr>
                <w:rFonts w:ascii="Times New Roman" w:hAnsi="Times New Roman"/>
                <w:b/>
              </w:rPr>
              <w:t>4,49</w:t>
            </w:r>
          </w:p>
        </w:tc>
      </w:tr>
      <w:tr w:rsidR="00B32244" w:rsidRPr="00B32244" w:rsidTr="00C667D6">
        <w:trPr>
          <w:trHeight w:val="874"/>
        </w:trPr>
        <w:tc>
          <w:tcPr>
            <w:tcW w:w="1843" w:type="dxa"/>
            <w:vMerge w:val="restart"/>
            <w:shd w:val="clear" w:color="auto" w:fill="BFBFBF"/>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 Μεταβολές</w:t>
            </w:r>
          </w:p>
          <w:p w:rsidR="00B32244" w:rsidRPr="00364DC5" w:rsidRDefault="00B32244" w:rsidP="00C667D6">
            <w:pPr>
              <w:tabs>
                <w:tab w:val="num" w:pos="-7938"/>
                <w:tab w:val="num" w:pos="426"/>
              </w:tabs>
              <w:spacing w:after="0" w:line="240" w:lineRule="auto"/>
              <w:jc w:val="center"/>
              <w:rPr>
                <w:rFonts w:ascii="Times New Roman" w:hAnsi="Times New Roman"/>
                <w:sz w:val="20"/>
                <w:szCs w:val="20"/>
              </w:rPr>
            </w:pPr>
            <w:r w:rsidRPr="00364DC5">
              <w:rPr>
                <w:rFonts w:ascii="Times New Roman" w:hAnsi="Times New Roman"/>
                <w:b/>
              </w:rPr>
              <w:t>(Πηγή ΕΛ.ΣΤΑΤ, εποχικά</w:t>
            </w:r>
            <w:r w:rsidRPr="00364DC5">
              <w:rPr>
                <w:rFonts w:ascii="Times New Roman" w:hAnsi="Times New Roman"/>
                <w:i/>
                <w:sz w:val="20"/>
                <w:szCs w:val="20"/>
              </w:rPr>
              <w:t xml:space="preserve"> διορθωμένος ΔΚΕ σε λιανικό)</w:t>
            </w:r>
          </w:p>
        </w:tc>
        <w:tc>
          <w:tcPr>
            <w:tcW w:w="1418" w:type="dxa"/>
            <w:gridSpan w:val="2"/>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2009/      2008</w:t>
            </w:r>
          </w:p>
        </w:tc>
        <w:tc>
          <w:tcPr>
            <w:tcW w:w="850"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 xml:space="preserve"> 2010/ 2009</w:t>
            </w:r>
          </w:p>
        </w:tc>
        <w:tc>
          <w:tcPr>
            <w:tcW w:w="993" w:type="dxa"/>
            <w:vAlign w:val="center"/>
          </w:tcPr>
          <w:p w:rsidR="00B32244" w:rsidRPr="00364DC5" w:rsidRDefault="00B32244" w:rsidP="00C667D6">
            <w:pPr>
              <w:tabs>
                <w:tab w:val="num" w:pos="-7938"/>
                <w:tab w:val="num" w:pos="426"/>
              </w:tabs>
              <w:spacing w:after="0" w:line="240" w:lineRule="auto"/>
              <w:jc w:val="center"/>
            </w:pPr>
            <w:r w:rsidRPr="00364DC5">
              <w:rPr>
                <w:rFonts w:ascii="Times New Roman" w:hAnsi="Times New Roman"/>
                <w:b/>
              </w:rPr>
              <w:t>2011/   2010</w:t>
            </w:r>
          </w:p>
        </w:tc>
        <w:tc>
          <w:tcPr>
            <w:tcW w:w="992" w:type="dxa"/>
            <w:vAlign w:val="center"/>
          </w:tcPr>
          <w:p w:rsidR="00B32244" w:rsidRPr="00364DC5" w:rsidRDefault="00B32244" w:rsidP="00C667D6">
            <w:pPr>
              <w:tabs>
                <w:tab w:val="num" w:pos="-7938"/>
                <w:tab w:val="num" w:pos="426"/>
              </w:tabs>
              <w:spacing w:after="0" w:line="240" w:lineRule="auto"/>
              <w:jc w:val="center"/>
            </w:pPr>
            <w:r w:rsidRPr="00364DC5">
              <w:rPr>
                <w:rFonts w:ascii="Times New Roman" w:hAnsi="Times New Roman"/>
                <w:b/>
              </w:rPr>
              <w:t>2012/  2011</w:t>
            </w:r>
          </w:p>
        </w:tc>
        <w:tc>
          <w:tcPr>
            <w:tcW w:w="1134"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 xml:space="preserve"> 2013/    2012</w:t>
            </w:r>
          </w:p>
        </w:tc>
        <w:tc>
          <w:tcPr>
            <w:tcW w:w="850"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lang w:val="en-US"/>
              </w:rPr>
            </w:pPr>
          </w:p>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 xml:space="preserve"> 2014/    2013 </w:t>
            </w:r>
          </w:p>
          <w:p w:rsidR="00B32244" w:rsidRPr="00364DC5" w:rsidRDefault="00B32244" w:rsidP="00C667D6">
            <w:pPr>
              <w:tabs>
                <w:tab w:val="num" w:pos="-7938"/>
                <w:tab w:val="num" w:pos="426"/>
              </w:tabs>
              <w:spacing w:after="0" w:line="240" w:lineRule="auto"/>
              <w:jc w:val="center"/>
              <w:rPr>
                <w:rFonts w:ascii="Times New Roman" w:hAnsi="Times New Roman"/>
                <w:b/>
              </w:rPr>
            </w:pPr>
          </w:p>
        </w:tc>
        <w:tc>
          <w:tcPr>
            <w:tcW w:w="993"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b/>
                <w:lang w:val="en-US"/>
              </w:rPr>
            </w:pPr>
          </w:p>
          <w:p w:rsidR="00B32244" w:rsidRPr="00364DC5" w:rsidRDefault="00B32244" w:rsidP="00C667D6">
            <w:pPr>
              <w:tabs>
                <w:tab w:val="num" w:pos="-7938"/>
                <w:tab w:val="num" w:pos="426"/>
              </w:tabs>
              <w:spacing w:after="0" w:line="240" w:lineRule="auto"/>
              <w:jc w:val="center"/>
              <w:rPr>
                <w:rFonts w:ascii="Times New Roman" w:hAnsi="Times New Roman"/>
                <w:b/>
              </w:rPr>
            </w:pPr>
            <w:r w:rsidRPr="00364DC5">
              <w:rPr>
                <w:rFonts w:ascii="Times New Roman" w:hAnsi="Times New Roman"/>
                <w:b/>
              </w:rPr>
              <w:t xml:space="preserve"> 2015/    2014 </w:t>
            </w:r>
          </w:p>
          <w:p w:rsidR="00B32244" w:rsidRPr="00364DC5" w:rsidRDefault="00B32244" w:rsidP="00C667D6">
            <w:pPr>
              <w:tabs>
                <w:tab w:val="num" w:pos="-7938"/>
                <w:tab w:val="num" w:pos="426"/>
              </w:tabs>
              <w:spacing w:after="0" w:line="240" w:lineRule="auto"/>
              <w:jc w:val="center"/>
              <w:rPr>
                <w:rFonts w:ascii="Times New Roman" w:hAnsi="Times New Roman"/>
                <w:b/>
              </w:rPr>
            </w:pPr>
          </w:p>
        </w:tc>
        <w:tc>
          <w:tcPr>
            <w:tcW w:w="1353" w:type="dxa"/>
            <w:vAlign w:val="center"/>
          </w:tcPr>
          <w:p w:rsidR="00326570" w:rsidRPr="001630AE" w:rsidRDefault="00326570" w:rsidP="00326570">
            <w:pPr>
              <w:tabs>
                <w:tab w:val="num" w:pos="-7938"/>
                <w:tab w:val="num" w:pos="426"/>
              </w:tabs>
              <w:spacing w:after="0" w:line="240" w:lineRule="auto"/>
              <w:jc w:val="center"/>
              <w:rPr>
                <w:rFonts w:ascii="Times New Roman" w:hAnsi="Times New Roman"/>
                <w:b/>
              </w:rPr>
            </w:pPr>
            <w:r w:rsidRPr="001630AE">
              <w:rPr>
                <w:rFonts w:ascii="Times New Roman" w:hAnsi="Times New Roman"/>
                <w:b/>
              </w:rPr>
              <w:t>201</w:t>
            </w:r>
            <w:r>
              <w:rPr>
                <w:rFonts w:ascii="Times New Roman" w:hAnsi="Times New Roman"/>
                <w:b/>
              </w:rPr>
              <w:t>6</w:t>
            </w:r>
            <w:r w:rsidRPr="001630AE">
              <w:rPr>
                <w:rFonts w:ascii="Times New Roman" w:hAnsi="Times New Roman"/>
                <w:b/>
              </w:rPr>
              <w:t>/</w:t>
            </w:r>
            <w:r>
              <w:rPr>
                <w:rFonts w:ascii="Times New Roman" w:hAnsi="Times New Roman"/>
                <w:b/>
              </w:rPr>
              <w:t xml:space="preserve">    2015 </w:t>
            </w:r>
            <w:r w:rsidRPr="0016748C">
              <w:rPr>
                <w:rFonts w:ascii="Times New Roman" w:hAnsi="Times New Roman"/>
                <w:i/>
                <w:sz w:val="21"/>
                <w:szCs w:val="21"/>
              </w:rPr>
              <w:t>(εκτίμηση)</w:t>
            </w:r>
            <w:r w:rsidRPr="001630AE">
              <w:rPr>
                <w:rFonts w:ascii="Times New Roman" w:hAnsi="Times New Roman"/>
                <w:b/>
              </w:rPr>
              <w:t xml:space="preserve"> </w:t>
            </w:r>
          </w:p>
          <w:p w:rsidR="00B32244" w:rsidRPr="00B32244" w:rsidRDefault="00B32244" w:rsidP="00C667D6">
            <w:pPr>
              <w:tabs>
                <w:tab w:val="num" w:pos="-7938"/>
                <w:tab w:val="num" w:pos="426"/>
              </w:tabs>
              <w:spacing w:after="0" w:line="240" w:lineRule="auto"/>
              <w:jc w:val="center"/>
              <w:rPr>
                <w:rFonts w:ascii="Times New Roman" w:hAnsi="Times New Roman"/>
                <w:b/>
                <w:highlight w:val="yellow"/>
              </w:rPr>
            </w:pPr>
          </w:p>
        </w:tc>
      </w:tr>
      <w:tr w:rsidR="00B32244" w:rsidRPr="00F74646" w:rsidTr="00C667D6">
        <w:trPr>
          <w:trHeight w:val="431"/>
        </w:trPr>
        <w:tc>
          <w:tcPr>
            <w:tcW w:w="1843" w:type="dxa"/>
            <w:vMerge/>
            <w:shd w:val="clear" w:color="auto" w:fill="BFBFBF"/>
          </w:tcPr>
          <w:p w:rsidR="00B32244" w:rsidRPr="00364DC5" w:rsidRDefault="00B32244" w:rsidP="00C667D6">
            <w:pPr>
              <w:tabs>
                <w:tab w:val="num" w:pos="-7938"/>
                <w:tab w:val="num" w:pos="426"/>
              </w:tabs>
              <w:spacing w:after="0" w:line="240" w:lineRule="auto"/>
              <w:jc w:val="both"/>
              <w:rPr>
                <w:rFonts w:ascii="Times New Roman" w:hAnsi="Times New Roman"/>
              </w:rPr>
            </w:pPr>
          </w:p>
        </w:tc>
        <w:tc>
          <w:tcPr>
            <w:tcW w:w="1418" w:type="dxa"/>
            <w:gridSpan w:val="2"/>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-11,7%</w:t>
            </w:r>
          </w:p>
        </w:tc>
        <w:tc>
          <w:tcPr>
            <w:tcW w:w="850"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6,7%</w:t>
            </w:r>
          </w:p>
        </w:tc>
        <w:tc>
          <w:tcPr>
            <w:tcW w:w="993"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-9,4%</w:t>
            </w:r>
          </w:p>
        </w:tc>
        <w:tc>
          <w:tcPr>
            <w:tcW w:w="992"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-8,5%</w:t>
            </w:r>
          </w:p>
        </w:tc>
        <w:tc>
          <w:tcPr>
            <w:tcW w:w="1134"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-14,6%</w:t>
            </w:r>
          </w:p>
        </w:tc>
        <w:tc>
          <w:tcPr>
            <w:tcW w:w="850"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rPr>
            </w:pPr>
            <w:r w:rsidRPr="00364DC5">
              <w:rPr>
                <w:rFonts w:ascii="Times New Roman" w:hAnsi="Times New Roman"/>
              </w:rPr>
              <w:t>-1,4%</w:t>
            </w:r>
          </w:p>
        </w:tc>
        <w:tc>
          <w:tcPr>
            <w:tcW w:w="993" w:type="dxa"/>
            <w:vAlign w:val="center"/>
          </w:tcPr>
          <w:p w:rsidR="00B32244" w:rsidRPr="00364DC5" w:rsidRDefault="00B32244" w:rsidP="00C667D6">
            <w:pPr>
              <w:tabs>
                <w:tab w:val="num" w:pos="-7938"/>
                <w:tab w:val="num" w:pos="426"/>
              </w:tabs>
              <w:spacing w:after="0" w:line="240" w:lineRule="auto"/>
              <w:jc w:val="center"/>
              <w:rPr>
                <w:rFonts w:ascii="Times New Roman" w:hAnsi="Times New Roman"/>
                <w:lang w:val="en-US"/>
              </w:rPr>
            </w:pPr>
            <w:r w:rsidRPr="00364DC5">
              <w:rPr>
                <w:rFonts w:ascii="Times New Roman" w:hAnsi="Times New Roman"/>
                <w:lang w:val="en-US"/>
              </w:rPr>
              <w:t>-</w:t>
            </w:r>
            <w:r w:rsidRPr="00364DC5">
              <w:rPr>
                <w:rFonts w:ascii="Times New Roman" w:hAnsi="Times New Roman"/>
              </w:rPr>
              <w:t>2</w:t>
            </w:r>
            <w:r w:rsidRPr="00364DC5">
              <w:rPr>
                <w:rFonts w:ascii="Times New Roman" w:hAnsi="Times New Roman"/>
                <w:lang w:val="en-US"/>
              </w:rPr>
              <w:t>,</w:t>
            </w:r>
            <w:r w:rsidRPr="00364DC5">
              <w:rPr>
                <w:rFonts w:ascii="Times New Roman" w:hAnsi="Times New Roman"/>
              </w:rPr>
              <w:t>4</w:t>
            </w:r>
            <w:r w:rsidRPr="00364DC5">
              <w:rPr>
                <w:rFonts w:ascii="Times New Roman" w:hAnsi="Times New Roman"/>
                <w:lang w:val="en-US"/>
              </w:rPr>
              <w:t>%</w:t>
            </w:r>
          </w:p>
        </w:tc>
        <w:tc>
          <w:tcPr>
            <w:tcW w:w="1353" w:type="dxa"/>
            <w:vAlign w:val="center"/>
          </w:tcPr>
          <w:p w:rsidR="00B32244" w:rsidRPr="00326570" w:rsidRDefault="00326570" w:rsidP="00C667D6">
            <w:pPr>
              <w:tabs>
                <w:tab w:val="num" w:pos="-7938"/>
                <w:tab w:val="num" w:pos="426"/>
              </w:tabs>
              <w:spacing w:after="0" w:line="240" w:lineRule="auto"/>
              <w:jc w:val="center"/>
              <w:rPr>
                <w:rFonts w:ascii="Times New Roman" w:hAnsi="Times New Roman"/>
                <w:b/>
              </w:rPr>
            </w:pPr>
            <w:r>
              <w:rPr>
                <w:rFonts w:ascii="Times New Roman" w:hAnsi="Times New Roman"/>
                <w:b/>
              </w:rPr>
              <w:t>20,8%</w:t>
            </w:r>
          </w:p>
        </w:tc>
      </w:tr>
    </w:tbl>
    <w:p w:rsidR="00BF7604" w:rsidRPr="002A7A89" w:rsidRDefault="00BF7604" w:rsidP="00E06593">
      <w:pPr>
        <w:spacing w:before="120" w:after="0" w:line="240" w:lineRule="auto"/>
        <w:jc w:val="both"/>
        <w:rPr>
          <w:rFonts w:ascii="Times New Roman" w:hAnsi="Times New Roman" w:cs="Times New Roman"/>
          <w:sz w:val="25"/>
          <w:szCs w:val="25"/>
        </w:rPr>
      </w:pPr>
    </w:p>
    <w:p w:rsidR="00E06593" w:rsidRPr="00CB4F30" w:rsidRDefault="00E06593" w:rsidP="00E06593">
      <w:pPr>
        <w:spacing w:before="120" w:after="0" w:line="240" w:lineRule="auto"/>
        <w:jc w:val="both"/>
        <w:rPr>
          <w:rFonts w:ascii="Times New Roman" w:hAnsi="Times New Roman" w:cs="Times New Roman"/>
          <w:sz w:val="25"/>
          <w:szCs w:val="25"/>
          <w:highlight w:val="yellow"/>
        </w:rPr>
      </w:pPr>
    </w:p>
    <w:p w:rsidR="00E06593" w:rsidRPr="00540468" w:rsidRDefault="00E06593" w:rsidP="00E06593">
      <w:pPr>
        <w:spacing w:after="0" w:line="240" w:lineRule="auto"/>
        <w:jc w:val="both"/>
        <w:rPr>
          <w:rFonts w:ascii="Times New Roman" w:hAnsi="Times New Roman" w:cs="Times New Roman"/>
          <w:b/>
          <w:sz w:val="25"/>
          <w:szCs w:val="25"/>
        </w:rPr>
      </w:pPr>
      <w:r w:rsidRPr="00540468">
        <w:rPr>
          <w:rFonts w:ascii="Times New Roman" w:hAnsi="Times New Roman" w:cs="Times New Roman"/>
          <w:b/>
          <w:sz w:val="25"/>
          <w:szCs w:val="25"/>
        </w:rPr>
        <w:t>Συνοψίζοντας, επισημαίνουμε:</w:t>
      </w:r>
    </w:p>
    <w:p w:rsidR="00BF7604" w:rsidRPr="006F0993" w:rsidRDefault="00BF7604" w:rsidP="00BF7604">
      <w:pPr>
        <w:spacing w:before="80" w:after="0" w:line="240" w:lineRule="auto"/>
        <w:jc w:val="both"/>
        <w:rPr>
          <w:rFonts w:ascii="Times New Roman" w:hAnsi="Times New Roman" w:cs="Times New Roman"/>
          <w:sz w:val="24"/>
          <w:szCs w:val="24"/>
        </w:rPr>
      </w:pPr>
      <w:r w:rsidRPr="006F0993">
        <w:rPr>
          <w:rFonts w:ascii="Times New Roman" w:hAnsi="Times New Roman" w:cs="Times New Roman"/>
          <w:sz w:val="24"/>
          <w:szCs w:val="24"/>
        </w:rPr>
        <w:t>•</w:t>
      </w:r>
      <w:r w:rsidRPr="006F0993">
        <w:rPr>
          <w:rFonts w:ascii="Times New Roman" w:hAnsi="Times New Roman" w:cs="Times New Roman"/>
          <w:sz w:val="24"/>
          <w:szCs w:val="24"/>
        </w:rPr>
        <w:tab/>
        <w:t>Μετά τις εξελίξεις του καλοκαιριού (επιβολή ελέγχου στην κίνηση κεφαλαίων) καταγράφηκε επιβράδυνση του ρυθμού υποχώρησης των τιμών, παρά την αυξημένη αβεβαιότητα και τις εκτιμήσεις για περαιτέρω καθοδικές πιέσεις στη ζήτηση.</w:t>
      </w:r>
    </w:p>
    <w:p w:rsidR="00BF7604" w:rsidRPr="006F0993" w:rsidRDefault="00BF7604" w:rsidP="00BF7604">
      <w:pPr>
        <w:spacing w:before="80" w:after="0" w:line="240" w:lineRule="auto"/>
        <w:jc w:val="both"/>
        <w:rPr>
          <w:rFonts w:ascii="Times New Roman" w:hAnsi="Times New Roman" w:cs="Times New Roman"/>
          <w:sz w:val="24"/>
          <w:szCs w:val="24"/>
        </w:rPr>
      </w:pPr>
      <w:r w:rsidRPr="006F0993">
        <w:rPr>
          <w:rFonts w:ascii="Times New Roman" w:hAnsi="Times New Roman" w:cs="Times New Roman"/>
          <w:sz w:val="24"/>
          <w:szCs w:val="24"/>
        </w:rPr>
        <w:t>•</w:t>
      </w:r>
      <w:r w:rsidRPr="006F0993">
        <w:rPr>
          <w:rFonts w:ascii="Times New Roman" w:hAnsi="Times New Roman" w:cs="Times New Roman"/>
          <w:sz w:val="24"/>
          <w:szCs w:val="24"/>
        </w:rPr>
        <w:tab/>
        <w:t>Το παράδοξο αυτό φαινόμενο οφείλεται</w:t>
      </w:r>
      <w:r w:rsidR="006F0993">
        <w:rPr>
          <w:rFonts w:ascii="Times New Roman" w:hAnsi="Times New Roman" w:cs="Times New Roman"/>
          <w:sz w:val="24"/>
          <w:szCs w:val="24"/>
        </w:rPr>
        <w:t>:</w:t>
      </w:r>
      <w:r w:rsidRPr="006F0993">
        <w:rPr>
          <w:rFonts w:ascii="Times New Roman" w:hAnsi="Times New Roman" w:cs="Times New Roman"/>
          <w:sz w:val="24"/>
          <w:szCs w:val="24"/>
        </w:rPr>
        <w:t xml:space="preserve"> α) σε  ανατιμήσεις εξαιτίας αλλαγών στο καθεστώς ΦΠΑ σε σειρά προϊόντων και υπηρεσιών από το καλοκαίρι του 2015 και έπειτα,  β) στην υψηλή προσέλευση τουριστών η οποία λειτούργησε ενισχυτικά προς την κατανάλωση (+7,0% το ταξιδιωτικό ισοζύγιο)  και γ) στη διατήρηση/ ομαλοποίηση της καταναλωτικής δαπάνης των νοικοκυριών από χρηματικά κεφάλαια (καταθέσεις) που είχαν αποσυρθεί πριν την επιβολή των </w:t>
      </w:r>
      <w:proofErr w:type="spellStart"/>
      <w:r w:rsidRPr="006F0993">
        <w:rPr>
          <w:rFonts w:ascii="Times New Roman" w:hAnsi="Times New Roman" w:cs="Times New Roman"/>
          <w:sz w:val="24"/>
          <w:szCs w:val="24"/>
        </w:rPr>
        <w:t>capital</w:t>
      </w:r>
      <w:proofErr w:type="spellEnd"/>
      <w:r w:rsidRPr="006F0993">
        <w:rPr>
          <w:rFonts w:ascii="Times New Roman" w:hAnsi="Times New Roman" w:cs="Times New Roman"/>
          <w:sz w:val="24"/>
          <w:szCs w:val="24"/>
        </w:rPr>
        <w:t xml:space="preserve"> </w:t>
      </w:r>
      <w:proofErr w:type="spellStart"/>
      <w:r w:rsidRPr="006F0993">
        <w:rPr>
          <w:rFonts w:ascii="Times New Roman" w:hAnsi="Times New Roman" w:cs="Times New Roman"/>
          <w:sz w:val="24"/>
          <w:szCs w:val="24"/>
        </w:rPr>
        <w:t>controls</w:t>
      </w:r>
      <w:proofErr w:type="spellEnd"/>
      <w:r w:rsidRPr="006F0993">
        <w:rPr>
          <w:rFonts w:ascii="Times New Roman" w:hAnsi="Times New Roman" w:cs="Times New Roman"/>
          <w:sz w:val="24"/>
          <w:szCs w:val="24"/>
        </w:rPr>
        <w:t xml:space="preserve"> (+1,2% το τρίτο τρίμηνο του 2015).</w:t>
      </w:r>
    </w:p>
    <w:p w:rsidR="00223067" w:rsidRPr="006F0993" w:rsidRDefault="00BF7604" w:rsidP="00BF7604">
      <w:pPr>
        <w:spacing w:before="80" w:after="0" w:line="240" w:lineRule="auto"/>
        <w:jc w:val="both"/>
        <w:rPr>
          <w:rFonts w:ascii="Times New Roman" w:hAnsi="Times New Roman" w:cs="Times New Roman"/>
          <w:sz w:val="24"/>
          <w:szCs w:val="24"/>
        </w:rPr>
      </w:pPr>
      <w:r w:rsidRPr="006F0993">
        <w:rPr>
          <w:rFonts w:ascii="Times New Roman" w:hAnsi="Times New Roman" w:cs="Times New Roman"/>
          <w:sz w:val="24"/>
          <w:szCs w:val="24"/>
        </w:rPr>
        <w:t>•</w:t>
      </w:r>
      <w:r w:rsidRPr="006F0993">
        <w:rPr>
          <w:rFonts w:ascii="Times New Roman" w:hAnsi="Times New Roman" w:cs="Times New Roman"/>
          <w:sz w:val="24"/>
          <w:szCs w:val="24"/>
        </w:rPr>
        <w:tab/>
        <w:t xml:space="preserve">Η επιμονή των αποπληθωριστικών πιέσεων είναι δυνατόν να διαμορφώσει αρνητικές προσδοκίες νοικοκυριών και επιχειρήσεων, με την οικονομία να εγκλωβίζεται σε ατέρμονα κύκλο (αποπληθωριστικό σπιράλ) αλλεπάλληλων μειώσεων τιμών και μισθών. </w:t>
      </w:r>
    </w:p>
    <w:p w:rsidR="00223067" w:rsidRPr="006F0993" w:rsidRDefault="00223067" w:rsidP="00BF7604">
      <w:pPr>
        <w:spacing w:before="80" w:after="0" w:line="240" w:lineRule="auto"/>
        <w:jc w:val="both"/>
        <w:rPr>
          <w:rFonts w:ascii="Times New Roman" w:hAnsi="Times New Roman" w:cs="Times New Roman"/>
          <w:sz w:val="24"/>
          <w:szCs w:val="24"/>
        </w:rPr>
      </w:pPr>
      <w:r w:rsidRPr="006F0993">
        <w:rPr>
          <w:rFonts w:ascii="Times New Roman" w:hAnsi="Times New Roman" w:cs="Times New Roman"/>
          <w:sz w:val="24"/>
          <w:szCs w:val="24"/>
        </w:rPr>
        <w:t>•    Παρά τη συνεχή υποχώρηση του γενικού επιπέδου των τιμών (αποπληθωρισμό), σε σειρά βασικών (πρώτης ανάγκης) προϊόντων</w:t>
      </w:r>
      <w:r w:rsidR="008D44B8" w:rsidRPr="006F0993">
        <w:rPr>
          <w:rFonts w:ascii="Times New Roman" w:hAnsi="Times New Roman" w:cs="Times New Roman"/>
          <w:sz w:val="24"/>
          <w:szCs w:val="24"/>
        </w:rPr>
        <w:t xml:space="preserve"> και υπηρεσιών</w:t>
      </w:r>
      <w:r w:rsidR="006F0993">
        <w:rPr>
          <w:rFonts w:ascii="Times New Roman" w:hAnsi="Times New Roman" w:cs="Times New Roman"/>
          <w:sz w:val="24"/>
          <w:szCs w:val="24"/>
        </w:rPr>
        <w:t>,</w:t>
      </w:r>
      <w:r w:rsidR="008D44B8" w:rsidRPr="006F0993">
        <w:rPr>
          <w:rFonts w:ascii="Times New Roman" w:hAnsi="Times New Roman" w:cs="Times New Roman"/>
          <w:sz w:val="24"/>
          <w:szCs w:val="24"/>
        </w:rPr>
        <w:t xml:space="preserve"> </w:t>
      </w:r>
      <w:r w:rsidRPr="006F0993">
        <w:rPr>
          <w:rFonts w:ascii="Times New Roman" w:hAnsi="Times New Roman" w:cs="Times New Roman"/>
          <w:sz w:val="24"/>
          <w:szCs w:val="24"/>
        </w:rPr>
        <w:t>καταγράφεται αύξηση των τιμών</w:t>
      </w:r>
      <w:r w:rsidR="008D44B8" w:rsidRPr="006F0993">
        <w:rPr>
          <w:rFonts w:ascii="Times New Roman" w:hAnsi="Times New Roman" w:cs="Times New Roman"/>
          <w:sz w:val="24"/>
          <w:szCs w:val="24"/>
        </w:rPr>
        <w:t>,</w:t>
      </w:r>
      <w:r w:rsidRPr="006F0993">
        <w:rPr>
          <w:rFonts w:ascii="Times New Roman" w:hAnsi="Times New Roman" w:cs="Times New Roman"/>
          <w:sz w:val="24"/>
          <w:szCs w:val="24"/>
        </w:rPr>
        <w:t xml:space="preserve"> με αποτέλεσμα την επιβάρυνση των καταναλωτών και ιδιαίτερα των πλέον εισοδηματικά αδύναμων</w:t>
      </w:r>
      <w:r w:rsidR="006F0993">
        <w:rPr>
          <w:rFonts w:ascii="Times New Roman" w:hAnsi="Times New Roman" w:cs="Times New Roman"/>
          <w:sz w:val="24"/>
          <w:szCs w:val="24"/>
        </w:rPr>
        <w:t>.</w:t>
      </w:r>
    </w:p>
    <w:p w:rsidR="00E06593" w:rsidRPr="006F0993" w:rsidRDefault="00E06593" w:rsidP="00BF7604">
      <w:pPr>
        <w:spacing w:before="80" w:after="0" w:line="240" w:lineRule="auto"/>
        <w:jc w:val="both"/>
        <w:rPr>
          <w:rFonts w:ascii="Times New Roman" w:hAnsi="Times New Roman" w:cs="Times New Roman"/>
          <w:sz w:val="24"/>
          <w:szCs w:val="24"/>
        </w:rPr>
      </w:pPr>
      <w:r w:rsidRPr="006F0993">
        <w:rPr>
          <w:rFonts w:ascii="Times New Roman" w:hAnsi="Times New Roman" w:cs="Times New Roman"/>
          <w:sz w:val="24"/>
          <w:szCs w:val="24"/>
        </w:rPr>
        <w:t xml:space="preserve">• </w:t>
      </w:r>
      <w:r w:rsidR="004F4AAB" w:rsidRPr="006F0993">
        <w:rPr>
          <w:rFonts w:ascii="Times New Roman" w:hAnsi="Times New Roman" w:cs="Times New Roman"/>
          <w:sz w:val="24"/>
          <w:szCs w:val="24"/>
        </w:rPr>
        <w:t xml:space="preserve">      </w:t>
      </w:r>
      <w:r w:rsidRPr="006F0993">
        <w:rPr>
          <w:rFonts w:ascii="Times New Roman" w:hAnsi="Times New Roman" w:cs="Times New Roman"/>
          <w:sz w:val="24"/>
          <w:szCs w:val="24"/>
        </w:rPr>
        <w:t>Η τρύπα στο</w:t>
      </w:r>
      <w:r w:rsidRPr="006F0993">
        <w:rPr>
          <w:sz w:val="24"/>
          <w:szCs w:val="24"/>
        </w:rPr>
        <w:t>ν</w:t>
      </w:r>
      <w:r w:rsidRPr="006F0993">
        <w:rPr>
          <w:rFonts w:ascii="Times New Roman" w:hAnsi="Times New Roman" w:cs="Times New Roman"/>
          <w:sz w:val="24"/>
          <w:szCs w:val="24"/>
        </w:rPr>
        <w:t xml:space="preserve"> τζίρο των χειμερινών εκπτώσεων, εκτιμάται σε κάτι λιγότερο από ένα δις ευρώ, δημιουργώντας μεγάλο κενό στην ελληνική αγορά.</w:t>
      </w:r>
    </w:p>
    <w:p w:rsidR="00BF7604" w:rsidRPr="006F0993" w:rsidRDefault="00E06593" w:rsidP="00E06593">
      <w:pPr>
        <w:spacing w:before="80" w:after="0" w:line="240" w:lineRule="auto"/>
        <w:jc w:val="both"/>
        <w:rPr>
          <w:rFonts w:ascii="Times New Roman" w:hAnsi="Times New Roman" w:cs="Times New Roman"/>
          <w:sz w:val="24"/>
          <w:szCs w:val="24"/>
        </w:rPr>
      </w:pPr>
      <w:r w:rsidRPr="006F0993">
        <w:rPr>
          <w:rFonts w:ascii="Times New Roman" w:hAnsi="Times New Roman" w:cs="Times New Roman"/>
          <w:sz w:val="24"/>
          <w:szCs w:val="24"/>
        </w:rPr>
        <w:t xml:space="preserve">• </w:t>
      </w:r>
      <w:r w:rsidR="004F4AAB" w:rsidRPr="006F0993">
        <w:rPr>
          <w:rFonts w:ascii="Times New Roman" w:hAnsi="Times New Roman" w:cs="Times New Roman"/>
          <w:sz w:val="24"/>
          <w:szCs w:val="24"/>
        </w:rPr>
        <w:t xml:space="preserve">      </w:t>
      </w:r>
      <w:r w:rsidRPr="006F0993">
        <w:rPr>
          <w:rFonts w:ascii="Times New Roman" w:hAnsi="Times New Roman" w:cs="Times New Roman"/>
          <w:sz w:val="24"/>
          <w:szCs w:val="24"/>
        </w:rPr>
        <w:t>Το ελληνικό εμπόριο συνεχίζει την μεγάλη προσπάθεια για ανάκαμψη, ενώ ο κλάδος του λιανεμπορίου συνεχίζει τις προσφορές μειωμένων τιμών στους καταναλωτές.</w:t>
      </w:r>
    </w:p>
    <w:p w:rsidR="00BF7604" w:rsidRDefault="00BF7604" w:rsidP="006F0993">
      <w:pPr>
        <w:spacing w:before="80" w:after="0" w:line="240" w:lineRule="auto"/>
        <w:jc w:val="both"/>
        <w:rPr>
          <w:rFonts w:ascii="Times New Roman" w:hAnsi="Times New Roman" w:cs="Times New Roman"/>
          <w:sz w:val="25"/>
          <w:szCs w:val="25"/>
        </w:rPr>
      </w:pPr>
      <w:r w:rsidRPr="006F0993">
        <w:rPr>
          <w:rFonts w:ascii="Times New Roman" w:hAnsi="Times New Roman" w:cs="Times New Roman"/>
          <w:sz w:val="24"/>
          <w:szCs w:val="24"/>
        </w:rPr>
        <w:t xml:space="preserve">• </w:t>
      </w:r>
      <w:r w:rsidR="004F4AAB" w:rsidRPr="006F0993">
        <w:rPr>
          <w:rFonts w:ascii="Times New Roman" w:hAnsi="Times New Roman" w:cs="Times New Roman"/>
          <w:sz w:val="24"/>
          <w:szCs w:val="24"/>
        </w:rPr>
        <w:t xml:space="preserve">    </w:t>
      </w:r>
      <w:r w:rsidRPr="006F0993">
        <w:rPr>
          <w:rFonts w:ascii="Times New Roman" w:hAnsi="Times New Roman" w:cs="Times New Roman"/>
          <w:sz w:val="24"/>
          <w:szCs w:val="24"/>
        </w:rPr>
        <w:t>Η λειτουργία των καταστημάτων τη</w:t>
      </w:r>
      <w:r w:rsidR="00A13D1F">
        <w:rPr>
          <w:rFonts w:ascii="Times New Roman" w:hAnsi="Times New Roman" w:cs="Times New Roman"/>
          <w:sz w:val="24"/>
          <w:szCs w:val="24"/>
        </w:rPr>
        <w:t>ν</w:t>
      </w:r>
      <w:r w:rsidRPr="006F0993">
        <w:rPr>
          <w:rFonts w:ascii="Times New Roman" w:hAnsi="Times New Roman" w:cs="Times New Roman"/>
          <w:sz w:val="24"/>
          <w:szCs w:val="24"/>
        </w:rPr>
        <w:t xml:space="preserve"> Κυριακή συνεχίζει να έχει μηδενική επίδραση για το</w:t>
      </w:r>
      <w:r w:rsidR="00A13D1F">
        <w:rPr>
          <w:rFonts w:ascii="Times New Roman" w:hAnsi="Times New Roman" w:cs="Times New Roman"/>
          <w:sz w:val="24"/>
          <w:szCs w:val="24"/>
        </w:rPr>
        <w:t>ν</w:t>
      </w:r>
      <w:r w:rsidRPr="006F0993">
        <w:rPr>
          <w:rFonts w:ascii="Times New Roman" w:hAnsi="Times New Roman" w:cs="Times New Roman"/>
          <w:sz w:val="24"/>
          <w:szCs w:val="24"/>
        </w:rPr>
        <w:t xml:space="preserve"> τζίρο, την </w:t>
      </w:r>
      <w:proofErr w:type="spellStart"/>
      <w:r w:rsidRPr="006F0993">
        <w:rPr>
          <w:rFonts w:ascii="Times New Roman" w:hAnsi="Times New Roman" w:cs="Times New Roman"/>
          <w:sz w:val="24"/>
          <w:szCs w:val="24"/>
        </w:rPr>
        <w:t>επισκεψιμότητα</w:t>
      </w:r>
      <w:proofErr w:type="spellEnd"/>
      <w:r w:rsidRPr="006F0993">
        <w:rPr>
          <w:rFonts w:ascii="Times New Roman" w:hAnsi="Times New Roman" w:cs="Times New Roman"/>
          <w:sz w:val="24"/>
          <w:szCs w:val="24"/>
        </w:rPr>
        <w:t xml:space="preserve"> και την αύξηση της απασχόλησης</w:t>
      </w:r>
      <w:r>
        <w:rPr>
          <w:rFonts w:ascii="Times New Roman" w:hAnsi="Times New Roman" w:cs="Times New Roman"/>
          <w:sz w:val="25"/>
          <w:szCs w:val="25"/>
        </w:rPr>
        <w:t xml:space="preserve">. </w:t>
      </w:r>
      <w:r w:rsidR="006F0993" w:rsidRPr="006F0993">
        <w:rPr>
          <w:rFonts w:ascii="Times New Roman" w:hAnsi="Times New Roman" w:cs="Times New Roman"/>
          <w:sz w:val="24"/>
          <w:szCs w:val="24"/>
        </w:rPr>
        <w:t>Τέλος, υπογραμμίζεται η επιδείνωση του λόγου χρέους/ ΑΕΠ (σε τρέχουσες τιμές) εξαιτίας της μείωσης της ονομαστικής αξίας του προϊόντος.</w:t>
      </w:r>
    </w:p>
    <w:p w:rsidR="00CF1E5D" w:rsidRPr="005F591A" w:rsidRDefault="00CF1E5D" w:rsidP="00EC608F">
      <w:pPr>
        <w:pStyle w:val="p2"/>
        <w:spacing w:before="120"/>
        <w:rPr>
          <w:rFonts w:ascii="Times New Roman" w:hAnsi="Times New Roman"/>
          <w:sz w:val="24"/>
          <w:szCs w:val="24"/>
        </w:rPr>
      </w:pPr>
      <w:r w:rsidRPr="005F591A">
        <w:rPr>
          <w:rStyle w:val="s1"/>
          <w:rFonts w:ascii="Times New Roman" w:hAnsi="Times New Roman"/>
          <w:sz w:val="24"/>
          <w:szCs w:val="24"/>
        </w:rPr>
        <w:t xml:space="preserve">Ο πρόεδρος της ΕΣΕΕ, κ. Βασίλης </w:t>
      </w:r>
      <w:proofErr w:type="spellStart"/>
      <w:r w:rsidRPr="005F591A">
        <w:rPr>
          <w:rStyle w:val="s1"/>
          <w:rFonts w:ascii="Times New Roman" w:hAnsi="Times New Roman"/>
          <w:sz w:val="24"/>
          <w:szCs w:val="24"/>
        </w:rPr>
        <w:t>Κορκίδης</w:t>
      </w:r>
      <w:proofErr w:type="spellEnd"/>
      <w:r w:rsidRPr="005F591A">
        <w:rPr>
          <w:rStyle w:val="s1"/>
          <w:rFonts w:ascii="Times New Roman" w:hAnsi="Times New Roman"/>
          <w:sz w:val="24"/>
          <w:szCs w:val="24"/>
        </w:rPr>
        <w:t xml:space="preserve"> δήλωσε τα εξής:</w:t>
      </w:r>
    </w:p>
    <w:p w:rsidR="00CF1E5D" w:rsidRDefault="00CF1E5D" w:rsidP="00EC608F">
      <w:pPr>
        <w:pStyle w:val="p1"/>
        <w:jc w:val="both"/>
        <w:rPr>
          <w:rStyle w:val="s1"/>
          <w:rFonts w:ascii="Times New Roman" w:hAnsi="Times New Roman"/>
          <w:sz w:val="24"/>
          <w:szCs w:val="24"/>
        </w:rPr>
      </w:pPr>
      <w:r w:rsidRPr="005F591A">
        <w:rPr>
          <w:rStyle w:val="apple-converted-space"/>
          <w:rFonts w:ascii="Times New Roman" w:hAnsi="Times New Roman"/>
          <w:sz w:val="24"/>
          <w:szCs w:val="24"/>
        </w:rPr>
        <w:t> </w:t>
      </w:r>
      <w:r>
        <w:rPr>
          <w:rStyle w:val="s1"/>
          <w:rFonts w:ascii="Times New Roman" w:hAnsi="Times New Roman"/>
          <w:i/>
          <w:sz w:val="24"/>
          <w:szCs w:val="24"/>
        </w:rPr>
        <w:t>«</w:t>
      </w:r>
      <w:r w:rsidRPr="00CF1E5D">
        <w:rPr>
          <w:rStyle w:val="s1"/>
          <w:rFonts w:ascii="Times New Roman" w:hAnsi="Times New Roman"/>
          <w:i/>
          <w:sz w:val="24"/>
          <w:szCs w:val="24"/>
        </w:rPr>
        <w:t>Βρισκόμαστε σε μία πολύ αμήχανη θέση να αναφέρουμε κάθε χρόνο την τελευταία εξαετία, ότι η κατάσταση στην αγορά είναι όχι απλά δύσκολη, αλλά εξαιρετικά περιοριστική για την επιχειρηματική δραστηριότητα. Ούτε οι εκπτώσεις κατάφεραν να δώσουν την ανάσα που χρειάζεται η αγορά, ενώ τα περιθώρια ανάκαμψης στενεύουν απελπιστικά. Ο αποπληθωρισμός συνεχίζεται για 35ο μήνα και όλα δείχνουν ότι θα συνεχιστεί για πολύ ακόμα, ενώ το διαθέσιμο εισόδημα συμπιέζεται διαρκώς σε ένα ασταθές φορολογικό</w:t>
      </w:r>
      <w:r w:rsidRPr="00CF1E5D">
        <w:rPr>
          <w:rStyle w:val="apple-converted-space"/>
          <w:rFonts w:ascii="Times New Roman" w:hAnsi="Times New Roman"/>
          <w:i/>
          <w:sz w:val="24"/>
          <w:szCs w:val="24"/>
        </w:rPr>
        <w:t xml:space="preserve">  </w:t>
      </w:r>
      <w:r w:rsidRPr="00CF1E5D">
        <w:rPr>
          <w:rStyle w:val="s1"/>
          <w:rFonts w:ascii="Times New Roman" w:hAnsi="Times New Roman"/>
          <w:i/>
          <w:sz w:val="24"/>
          <w:szCs w:val="24"/>
        </w:rPr>
        <w:t>περιβάλλον. Αναμένοντας την αξιολόγηση, οι επιχειρήσεις περνάνε καθημερινά από ισχυρές δοκιμασίες επιβίωσης, ενώ</w:t>
      </w:r>
      <w:r w:rsidRPr="00CF1E5D">
        <w:rPr>
          <w:rStyle w:val="apple-converted-space"/>
          <w:rFonts w:ascii="Times New Roman" w:hAnsi="Times New Roman"/>
          <w:i/>
          <w:sz w:val="24"/>
          <w:szCs w:val="24"/>
        </w:rPr>
        <w:t xml:space="preserve">  </w:t>
      </w:r>
      <w:r w:rsidRPr="00CF1E5D">
        <w:rPr>
          <w:rStyle w:val="s1"/>
          <w:rFonts w:ascii="Times New Roman" w:hAnsi="Times New Roman"/>
          <w:i/>
          <w:sz w:val="24"/>
          <w:szCs w:val="24"/>
        </w:rPr>
        <w:t xml:space="preserve">οι κινητοποιήσεις αναμένεται να επηρεάσουν άμεσα και τις εξαγωγές του πρώτου τριμήνου, οι οποίες έχουν ήδη αρνητικό πρόσημο συγκριτικά με 6 δις ευρώ που κινήθηκαν την ίδια περίοδο του 2015. Η έντονη πτώση στις τιμές ένδυσης και υπόδησης καθιστά πλέον φανερό το μέγεθος των πιέσεων που έχει ασκηθεί στο συγκεκριμένο κλάδο του λιανικού εμπορίου τα τελευταία χρόνια. Οι έμποροι έχουν καταβάλλει και συνεχίζουν να καταβάλουν κάθε δυνατή προσπάθεια απορρόφησης των κραδασμών και μη </w:t>
      </w:r>
      <w:proofErr w:type="spellStart"/>
      <w:r w:rsidRPr="00CF1E5D">
        <w:rPr>
          <w:rStyle w:val="s1"/>
          <w:rFonts w:ascii="Times New Roman" w:hAnsi="Times New Roman"/>
          <w:i/>
          <w:sz w:val="24"/>
          <w:szCs w:val="24"/>
        </w:rPr>
        <w:t>μετακύλησης</w:t>
      </w:r>
      <w:proofErr w:type="spellEnd"/>
      <w:r w:rsidRPr="00CF1E5D">
        <w:rPr>
          <w:rStyle w:val="s1"/>
          <w:rFonts w:ascii="Times New Roman" w:hAnsi="Times New Roman"/>
          <w:i/>
          <w:sz w:val="24"/>
          <w:szCs w:val="24"/>
        </w:rPr>
        <w:t xml:space="preserve"> των βαρών στους καταναλωτές από τις δυσμενείς εξελίξεις στην πραγματική οικονομία, μειώνοντας συνεχώς τις τιμές των προϊόντων τους. </w:t>
      </w:r>
      <w:r w:rsidR="00957079">
        <w:rPr>
          <w:rStyle w:val="s1"/>
          <w:rFonts w:ascii="Times New Roman" w:hAnsi="Times New Roman"/>
          <w:i/>
          <w:sz w:val="24"/>
          <w:szCs w:val="24"/>
        </w:rPr>
        <w:t xml:space="preserve">Το αποτέλεσμα είναι οι φετινές χειμερινές εκπτώσεις να περάσουν σχεδόν απαρατήρητες για τους εμπόρους και αδιάφορες για τους καταναλωτές. </w:t>
      </w:r>
      <w:r w:rsidRPr="00CF1E5D">
        <w:rPr>
          <w:rStyle w:val="s1"/>
          <w:rFonts w:ascii="Times New Roman" w:hAnsi="Times New Roman"/>
          <w:i/>
          <w:sz w:val="24"/>
          <w:szCs w:val="24"/>
        </w:rPr>
        <w:t xml:space="preserve">Η επιμονή των αποπληθωριστικών πιέσεων επί σχεδόν 3 χρόνια σε ένα επιχειρηματικό περιβάλλον συμπίεσης έχει εξαναγκάσει μεγάλο μέρος των μικρομεσαίων εμπορικών </w:t>
      </w:r>
      <w:r w:rsidRPr="00CF1E5D">
        <w:rPr>
          <w:rStyle w:val="s1"/>
          <w:rFonts w:ascii="Times New Roman" w:hAnsi="Times New Roman"/>
          <w:i/>
          <w:sz w:val="24"/>
          <w:szCs w:val="24"/>
        </w:rPr>
        <w:lastRenderedPageBreak/>
        <w:t>επιχειρήσεων να λειτουργούν κάτω του κόστους, ώστε να παραμείνουν πάση θυσία ανοικτές, χωρίς</w:t>
      </w:r>
      <w:r w:rsidR="00915945">
        <w:rPr>
          <w:rStyle w:val="s1"/>
          <w:rFonts w:ascii="Times New Roman" w:hAnsi="Times New Roman"/>
          <w:i/>
          <w:sz w:val="24"/>
          <w:szCs w:val="24"/>
        </w:rPr>
        <w:t xml:space="preserve">, </w:t>
      </w:r>
      <w:r w:rsidRPr="00CF1E5D">
        <w:rPr>
          <w:rStyle w:val="s1"/>
          <w:rFonts w:ascii="Times New Roman" w:hAnsi="Times New Roman"/>
          <w:i/>
          <w:sz w:val="24"/>
          <w:szCs w:val="24"/>
        </w:rPr>
        <w:t>ωστόσο αυτό να σημαίνει πως οι αντοχές τους είναι ανεξάντλητες…</w:t>
      </w:r>
      <w:r w:rsidRPr="005F591A">
        <w:rPr>
          <w:rStyle w:val="s1"/>
          <w:rFonts w:ascii="Times New Roman" w:hAnsi="Times New Roman"/>
          <w:sz w:val="24"/>
          <w:szCs w:val="24"/>
        </w:rPr>
        <w:t>.»</w:t>
      </w:r>
    </w:p>
    <w:p w:rsidR="00364DC5" w:rsidRPr="005F591A" w:rsidRDefault="00364DC5" w:rsidP="00CF1E5D">
      <w:pPr>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095"/>
      </w:tblGrid>
      <w:tr w:rsidR="00364DC5" w:rsidTr="00364DC5">
        <w:trPr>
          <w:trHeight w:val="803"/>
        </w:trPr>
        <w:tc>
          <w:tcPr>
            <w:tcW w:w="907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64DC5" w:rsidRDefault="00364DC5" w:rsidP="00364DC5">
            <w:pPr>
              <w:spacing w:after="0" w:line="240" w:lineRule="auto"/>
              <w:jc w:val="center"/>
              <w:rPr>
                <w:rFonts w:ascii="Times New Roman" w:hAnsi="Times New Roman"/>
                <w:b/>
                <w:bCs/>
                <w:lang w:eastAsia="el-GR"/>
              </w:rPr>
            </w:pPr>
            <w:r w:rsidRPr="008A5256">
              <w:rPr>
                <w:rFonts w:ascii="Times New Roman" w:hAnsi="Times New Roman"/>
                <w:b/>
                <w:bCs/>
                <w:sz w:val="26"/>
                <w:szCs w:val="26"/>
                <w:lang w:eastAsia="el-GR"/>
              </w:rPr>
              <w:t>Πίνακας:</w:t>
            </w:r>
            <w:r>
              <w:rPr>
                <w:rFonts w:ascii="Times New Roman" w:hAnsi="Times New Roman"/>
                <w:b/>
                <w:bCs/>
                <w:lang w:eastAsia="el-GR"/>
              </w:rPr>
              <w:t xml:space="preserve"> Εκτιμήσεις Εμπορικών Συλλόγων για την εξέλιξη του κύκλου εργασιών κατά τη διάρκεια των Χειμερινών Εκπτώσεων</w:t>
            </w:r>
          </w:p>
        </w:tc>
      </w:tr>
      <w:tr w:rsidR="00364DC5" w:rsidTr="00364DC5">
        <w:trPr>
          <w:trHeight w:val="1188"/>
        </w:trPr>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64DC5" w:rsidRDefault="00364DC5" w:rsidP="00364DC5">
            <w:pPr>
              <w:spacing w:after="0" w:line="240" w:lineRule="auto"/>
              <w:jc w:val="center"/>
              <w:rPr>
                <w:rFonts w:ascii="Times New Roman" w:hAnsi="Times New Roman"/>
                <w:b/>
                <w:bCs/>
                <w:sz w:val="26"/>
                <w:szCs w:val="26"/>
                <w:lang w:eastAsia="el-GR"/>
              </w:rPr>
            </w:pPr>
            <w:r>
              <w:rPr>
                <w:rFonts w:ascii="Times New Roman" w:hAnsi="Times New Roman"/>
                <w:b/>
                <w:bCs/>
                <w:sz w:val="26"/>
                <w:szCs w:val="26"/>
                <w:lang w:eastAsia="el-GR"/>
              </w:rPr>
              <w:t>Εμπορικοί Σύλλογοι</w:t>
            </w:r>
          </w:p>
        </w:tc>
        <w:tc>
          <w:tcPr>
            <w:tcW w:w="609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64DC5" w:rsidRDefault="00364DC5" w:rsidP="00364DC5">
            <w:pPr>
              <w:spacing w:after="0" w:line="240" w:lineRule="auto"/>
              <w:jc w:val="center"/>
              <w:rPr>
                <w:rFonts w:ascii="Times New Roman" w:hAnsi="Times New Roman"/>
                <w:b/>
                <w:bCs/>
                <w:lang w:eastAsia="el-GR"/>
              </w:rPr>
            </w:pPr>
            <w:r>
              <w:rPr>
                <w:rFonts w:ascii="Times New Roman" w:hAnsi="Times New Roman"/>
                <w:b/>
                <w:bCs/>
                <w:lang w:eastAsia="el-GR"/>
              </w:rPr>
              <w:t>Μεταβολή (%) τζίρου κατά τη διάρκεια των Χειμερινών Εκπτώσεων 2016/2015</w:t>
            </w:r>
          </w:p>
        </w:tc>
      </w:tr>
      <w:tr w:rsidR="00364DC5" w:rsidTr="00364DC5">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1.</w:t>
            </w:r>
            <w:r>
              <w:rPr>
                <w:rFonts w:ascii="Times New Roman" w:hAnsi="Times New Roman"/>
                <w:lang w:eastAsia="el-GR"/>
              </w:rPr>
              <w:t xml:space="preserve">  Ε.Σ.  Αθηνών</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p>
        </w:tc>
      </w:tr>
      <w:tr w:rsidR="00364DC5" w:rsidTr="00364DC5">
        <w:tc>
          <w:tcPr>
            <w:tcW w:w="2977"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364DC5" w:rsidP="00364DC5">
            <w:pPr>
              <w:spacing w:after="0" w:line="240" w:lineRule="auto"/>
              <w:jc w:val="center"/>
              <w:rPr>
                <w:rFonts w:ascii="Times New Roman" w:hAnsi="Times New Roman"/>
                <w:b/>
                <w:bCs/>
                <w:lang w:val="en-US" w:eastAsia="el-GR"/>
              </w:rPr>
            </w:pPr>
            <w:r w:rsidRPr="00F74646">
              <w:rPr>
                <w:rFonts w:ascii="Times New Roman" w:hAnsi="Times New Roman"/>
                <w:b/>
                <w:bCs/>
                <w:lang w:eastAsia="el-GR"/>
              </w:rPr>
              <w:t>Πτώση</w:t>
            </w:r>
            <w:r>
              <w:rPr>
                <w:rFonts w:ascii="Times New Roman" w:hAnsi="Times New Roman"/>
                <w:b/>
                <w:bCs/>
                <w:lang w:val="en-US" w:eastAsia="el-GR"/>
              </w:rPr>
              <w:t xml:space="preserve"> </w:t>
            </w:r>
            <w:r w:rsidRPr="00A023D1">
              <w:rPr>
                <w:rFonts w:ascii="Times New Roman" w:hAnsi="Times New Roman"/>
                <w:bCs/>
                <w:lang w:val="en-US" w:eastAsia="el-GR"/>
              </w:rPr>
              <w:t>10-20%</w:t>
            </w:r>
          </w:p>
        </w:tc>
      </w:tr>
      <w:tr w:rsidR="00364DC5" w:rsidTr="00364DC5">
        <w:trPr>
          <w:trHeight w:hRule="exact" w:val="11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sidRPr="00783BE5">
              <w:rPr>
                <w:rFonts w:ascii="Times New Roman" w:hAnsi="Times New Roman"/>
                <w:b/>
                <w:lang w:eastAsia="el-GR"/>
              </w:rPr>
              <w:t>2.</w:t>
            </w:r>
            <w:r w:rsidRPr="00783BE5">
              <w:rPr>
                <w:rFonts w:ascii="Times New Roman" w:hAnsi="Times New Roman"/>
                <w:lang w:eastAsia="el-GR"/>
              </w:rPr>
              <w:t xml:space="preserve">  Ε.Σ.  Θεσσαλονίκης</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jc w:val="center"/>
              <w:rPr>
                <w:rFonts w:ascii="Times New Roman" w:hAnsi="Times New Roman"/>
                <w:lang w:eastAsia="el-GR"/>
              </w:rPr>
            </w:pPr>
            <w:r w:rsidRPr="00783BE5">
              <w:rPr>
                <w:rFonts w:ascii="Times New Roman" w:hAnsi="Times New Roman"/>
                <w:b/>
                <w:lang w:eastAsia="el-GR"/>
              </w:rPr>
              <w:t>Πτώση</w:t>
            </w:r>
            <w:r w:rsidRPr="00783BE5">
              <w:rPr>
                <w:rFonts w:ascii="Times New Roman" w:hAnsi="Times New Roman"/>
                <w:lang w:eastAsia="el-GR"/>
              </w:rPr>
              <w:t xml:space="preserve"> 20-30%</w:t>
            </w:r>
          </w:p>
        </w:tc>
      </w:tr>
      <w:tr w:rsidR="00364DC5" w:rsidTr="00364DC5">
        <w:trPr>
          <w:trHeight w:val="25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3.</w:t>
            </w:r>
            <w:r>
              <w:rPr>
                <w:rFonts w:ascii="Times New Roman" w:hAnsi="Times New Roman"/>
                <w:lang w:eastAsia="el-GR"/>
              </w:rPr>
              <w:t xml:space="preserve">  Ε.Σ.  Πειραιώς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364DC5" w:rsidP="00364DC5">
            <w:pPr>
              <w:spacing w:after="0" w:line="240" w:lineRule="auto"/>
              <w:jc w:val="center"/>
              <w:rPr>
                <w:rFonts w:ascii="Times New Roman" w:hAnsi="Times New Roman"/>
                <w:lang w:val="en-US" w:eastAsia="el-GR"/>
              </w:rPr>
            </w:pPr>
            <w:r w:rsidRPr="00F74646">
              <w:rPr>
                <w:rFonts w:ascii="Times New Roman" w:hAnsi="Times New Roman"/>
                <w:b/>
                <w:bCs/>
                <w:lang w:eastAsia="el-GR"/>
              </w:rPr>
              <w:t>Πτώση</w:t>
            </w:r>
            <w:r>
              <w:rPr>
                <w:rFonts w:ascii="Times New Roman" w:hAnsi="Times New Roman"/>
                <w:b/>
                <w:bCs/>
                <w:lang w:val="en-US" w:eastAsia="el-GR"/>
              </w:rPr>
              <w:t xml:space="preserve"> </w:t>
            </w:r>
            <w:r w:rsidRPr="00BC117A">
              <w:rPr>
                <w:rFonts w:ascii="Times New Roman" w:hAnsi="Times New Roman"/>
                <w:bCs/>
                <w:lang w:val="en-US" w:eastAsia="el-GR"/>
              </w:rPr>
              <w:t>8</w:t>
            </w:r>
            <w:r w:rsidR="00C0315E">
              <w:rPr>
                <w:rFonts w:ascii="Times New Roman" w:hAnsi="Times New Roman"/>
                <w:bCs/>
                <w:lang w:eastAsia="el-GR"/>
              </w:rPr>
              <w:t>-10</w:t>
            </w:r>
            <w:r w:rsidRPr="00BC117A">
              <w:rPr>
                <w:rFonts w:ascii="Times New Roman" w:hAnsi="Times New Roman"/>
                <w:bCs/>
                <w:lang w:val="en-US" w:eastAsia="el-GR"/>
              </w:rPr>
              <w:t>%</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4.</w:t>
            </w:r>
            <w:r>
              <w:rPr>
                <w:rFonts w:ascii="Times New Roman" w:hAnsi="Times New Roman"/>
                <w:lang w:eastAsia="el-GR"/>
              </w:rPr>
              <w:t xml:space="preserve">  Ε.Σ.  Πάτρας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D828D0" w:rsidP="00D828D0">
            <w:pPr>
              <w:spacing w:after="0" w:line="240" w:lineRule="auto"/>
              <w:rPr>
                <w:rFonts w:ascii="Times New Roman" w:hAnsi="Times New Roman"/>
                <w:lang w:val="en-US" w:eastAsia="el-GR"/>
              </w:rPr>
            </w:pPr>
            <w:r>
              <w:rPr>
                <w:rFonts w:ascii="Times New Roman" w:hAnsi="Times New Roman"/>
                <w:b/>
                <w:bCs/>
                <w:lang w:eastAsia="el-GR"/>
              </w:rPr>
              <w:tab/>
            </w:r>
            <w:r>
              <w:rPr>
                <w:rFonts w:ascii="Times New Roman" w:hAnsi="Times New Roman"/>
                <w:b/>
                <w:bCs/>
                <w:lang w:eastAsia="el-GR"/>
              </w:rPr>
              <w:tab/>
            </w:r>
            <w:r>
              <w:rPr>
                <w:rFonts w:ascii="Times New Roman" w:hAnsi="Times New Roman"/>
                <w:b/>
                <w:bCs/>
                <w:lang w:eastAsia="el-GR"/>
              </w:rPr>
              <w:tab/>
            </w:r>
            <w:r w:rsidR="00364DC5" w:rsidRPr="00F74646">
              <w:rPr>
                <w:rFonts w:ascii="Times New Roman" w:hAnsi="Times New Roman"/>
                <w:b/>
                <w:bCs/>
                <w:lang w:eastAsia="el-GR"/>
              </w:rPr>
              <w:t>Πτώση</w:t>
            </w:r>
            <w:r w:rsidR="00364DC5">
              <w:rPr>
                <w:rFonts w:ascii="Times New Roman" w:hAnsi="Times New Roman"/>
                <w:b/>
                <w:bCs/>
                <w:lang w:val="en-US" w:eastAsia="el-GR"/>
              </w:rPr>
              <w:t xml:space="preserve"> </w:t>
            </w:r>
            <w:r w:rsidR="00364DC5" w:rsidRPr="00BC117A">
              <w:rPr>
                <w:rFonts w:ascii="Times New Roman" w:hAnsi="Times New Roman"/>
                <w:bCs/>
                <w:lang w:val="en-US" w:eastAsia="el-GR"/>
              </w:rPr>
              <w:t>25%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eastAsia="el-GR"/>
              </w:rPr>
              <w:t xml:space="preserve">5.  </w:t>
            </w:r>
            <w:r>
              <w:rPr>
                <w:rFonts w:ascii="Times New Roman" w:hAnsi="Times New Roman"/>
                <w:lang w:eastAsia="el-GR"/>
              </w:rPr>
              <w:t>Ε.Σ.  Ηρακλείου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364DC5" w:rsidP="00364DC5">
            <w:pPr>
              <w:spacing w:after="0" w:line="240" w:lineRule="auto"/>
              <w:jc w:val="center"/>
              <w:rPr>
                <w:rFonts w:ascii="Times New Roman" w:hAnsi="Times New Roman"/>
                <w:b/>
                <w:bCs/>
                <w:lang w:val="en-US" w:eastAsia="el-GR"/>
              </w:rPr>
            </w:pPr>
            <w:r w:rsidRPr="00F74646">
              <w:rPr>
                <w:rFonts w:ascii="Times New Roman" w:hAnsi="Times New Roman"/>
                <w:b/>
                <w:bCs/>
                <w:lang w:eastAsia="el-GR"/>
              </w:rPr>
              <w:t>Πτώση</w:t>
            </w:r>
            <w:r>
              <w:rPr>
                <w:rFonts w:ascii="Times New Roman" w:hAnsi="Times New Roman"/>
                <w:b/>
                <w:bCs/>
                <w:lang w:val="en-US" w:eastAsia="el-GR"/>
              </w:rPr>
              <w:t xml:space="preserve"> </w:t>
            </w:r>
            <w:r w:rsidRPr="00BC117A">
              <w:rPr>
                <w:rFonts w:ascii="Times New Roman" w:hAnsi="Times New Roman"/>
                <w:bCs/>
                <w:lang w:val="en-US" w:eastAsia="el-GR"/>
              </w:rPr>
              <w:t>15%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6.</w:t>
            </w:r>
            <w:r>
              <w:rPr>
                <w:rFonts w:ascii="Times New Roman" w:hAnsi="Times New Roman"/>
                <w:lang w:eastAsia="el-GR"/>
              </w:rPr>
              <w:t xml:space="preserve">  Ε.Σ.  Χανίων</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364DC5" w:rsidP="00364DC5">
            <w:pPr>
              <w:spacing w:after="0" w:line="240" w:lineRule="auto"/>
              <w:jc w:val="center"/>
              <w:rPr>
                <w:rFonts w:ascii="Times New Roman" w:hAnsi="Times New Roman"/>
                <w:lang w:val="en-US" w:eastAsia="el-GR"/>
              </w:rPr>
            </w:pPr>
            <w:r w:rsidRPr="00F74646">
              <w:rPr>
                <w:rFonts w:ascii="Times New Roman" w:hAnsi="Times New Roman"/>
                <w:b/>
                <w:bCs/>
                <w:lang w:eastAsia="el-GR"/>
              </w:rPr>
              <w:t>Πτώση</w:t>
            </w:r>
            <w:r>
              <w:rPr>
                <w:rFonts w:ascii="Times New Roman" w:hAnsi="Times New Roman"/>
                <w:b/>
                <w:bCs/>
                <w:lang w:val="en-US" w:eastAsia="el-GR"/>
              </w:rPr>
              <w:t xml:space="preserve"> </w:t>
            </w:r>
            <w:r w:rsidRPr="00BC117A">
              <w:rPr>
                <w:rFonts w:ascii="Times New Roman" w:hAnsi="Times New Roman"/>
                <w:bCs/>
                <w:lang w:val="en-US" w:eastAsia="el-GR"/>
              </w:rPr>
              <w:t>20-30%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7.</w:t>
            </w:r>
            <w:r>
              <w:rPr>
                <w:rFonts w:ascii="Times New Roman" w:hAnsi="Times New Roman"/>
                <w:lang w:eastAsia="el-GR"/>
              </w:rPr>
              <w:t xml:space="preserve">  Ε.Σ.  Βόλου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364DC5" w:rsidP="00364DC5">
            <w:pPr>
              <w:spacing w:after="0" w:line="240" w:lineRule="auto"/>
              <w:jc w:val="center"/>
              <w:rPr>
                <w:rFonts w:ascii="Times New Roman" w:hAnsi="Times New Roman"/>
                <w:lang w:val="en-US" w:eastAsia="el-GR"/>
              </w:rPr>
            </w:pPr>
            <w:r w:rsidRPr="00F74646">
              <w:rPr>
                <w:rFonts w:ascii="Times New Roman" w:hAnsi="Times New Roman"/>
                <w:b/>
                <w:bCs/>
                <w:lang w:eastAsia="el-GR"/>
              </w:rPr>
              <w:t>Πτώση</w:t>
            </w:r>
            <w:r>
              <w:rPr>
                <w:rFonts w:ascii="Times New Roman" w:hAnsi="Times New Roman"/>
                <w:b/>
                <w:bCs/>
                <w:lang w:val="en-US" w:eastAsia="el-GR"/>
              </w:rPr>
              <w:t xml:space="preserve"> </w:t>
            </w:r>
            <w:r w:rsidRPr="00BC117A">
              <w:rPr>
                <w:rFonts w:ascii="Times New Roman" w:hAnsi="Times New Roman"/>
                <w:bCs/>
                <w:lang w:val="en-US" w:eastAsia="el-GR"/>
              </w:rPr>
              <w:t>30%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8.</w:t>
            </w:r>
            <w:r>
              <w:rPr>
                <w:rFonts w:ascii="Times New Roman" w:hAnsi="Times New Roman"/>
                <w:lang w:eastAsia="el-GR"/>
              </w:rPr>
              <w:t xml:space="preserve">  Ε.Σ.  Λάρισας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364DC5" w:rsidP="00364DC5">
            <w:pPr>
              <w:spacing w:after="0" w:line="240" w:lineRule="auto"/>
              <w:jc w:val="center"/>
              <w:rPr>
                <w:rFonts w:ascii="Times New Roman" w:hAnsi="Times New Roman"/>
                <w:lang w:val="en-US" w:eastAsia="el-GR"/>
              </w:rPr>
            </w:pPr>
            <w:r w:rsidRPr="00F74646">
              <w:rPr>
                <w:rFonts w:ascii="Times New Roman" w:hAnsi="Times New Roman"/>
                <w:b/>
                <w:bCs/>
                <w:lang w:eastAsia="el-GR"/>
              </w:rPr>
              <w:t>Πτώση</w:t>
            </w:r>
            <w:r>
              <w:rPr>
                <w:rFonts w:ascii="Times New Roman" w:hAnsi="Times New Roman"/>
                <w:b/>
                <w:bCs/>
                <w:lang w:val="en-US" w:eastAsia="el-GR"/>
              </w:rPr>
              <w:t xml:space="preserve"> </w:t>
            </w:r>
            <w:r w:rsidRPr="00BC117A">
              <w:rPr>
                <w:rFonts w:ascii="Times New Roman" w:hAnsi="Times New Roman"/>
                <w:bCs/>
                <w:lang w:val="en-US" w:eastAsia="el-GR"/>
              </w:rPr>
              <w:t>10%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9.</w:t>
            </w:r>
            <w:r>
              <w:rPr>
                <w:rFonts w:ascii="Times New Roman" w:hAnsi="Times New Roman"/>
                <w:lang w:eastAsia="el-GR"/>
              </w:rPr>
              <w:t xml:space="preserve">  Ε.Σ.  Χαλανδρίου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364DC5" w:rsidP="00364DC5">
            <w:pPr>
              <w:spacing w:after="0" w:line="240" w:lineRule="auto"/>
              <w:jc w:val="center"/>
              <w:rPr>
                <w:rFonts w:ascii="Times New Roman" w:hAnsi="Times New Roman"/>
                <w:lang w:val="en-US" w:eastAsia="el-GR"/>
              </w:rPr>
            </w:pPr>
            <w:r w:rsidRPr="00F74646">
              <w:rPr>
                <w:rFonts w:ascii="Times New Roman" w:hAnsi="Times New Roman"/>
                <w:b/>
                <w:bCs/>
                <w:lang w:eastAsia="el-GR"/>
              </w:rPr>
              <w:t>Πτώση</w:t>
            </w:r>
            <w:r>
              <w:rPr>
                <w:rFonts w:ascii="Times New Roman" w:hAnsi="Times New Roman"/>
                <w:b/>
                <w:bCs/>
                <w:lang w:val="en-US" w:eastAsia="el-GR"/>
              </w:rPr>
              <w:t xml:space="preserve"> </w:t>
            </w:r>
            <w:r w:rsidRPr="00BC117A">
              <w:rPr>
                <w:rFonts w:ascii="Times New Roman" w:hAnsi="Times New Roman"/>
                <w:bCs/>
                <w:lang w:val="en-US" w:eastAsia="el-GR"/>
              </w:rPr>
              <w:t>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10.</w:t>
            </w:r>
            <w:r>
              <w:rPr>
                <w:rFonts w:ascii="Times New Roman" w:hAnsi="Times New Roman"/>
                <w:lang w:eastAsia="el-GR"/>
              </w:rPr>
              <w:t xml:space="preserve">  Ε.Σ.  Ν. Ιωνίας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A023D1" w:rsidRDefault="00364DC5" w:rsidP="00364DC5">
            <w:pPr>
              <w:spacing w:after="0" w:line="240" w:lineRule="auto"/>
              <w:jc w:val="center"/>
              <w:rPr>
                <w:rFonts w:ascii="Times New Roman" w:hAnsi="Times New Roman"/>
                <w:lang w:eastAsia="el-GR"/>
              </w:rPr>
            </w:pPr>
            <w:r>
              <w:rPr>
                <w:rFonts w:ascii="Times New Roman" w:hAnsi="Times New Roman"/>
                <w:b/>
                <w:bCs/>
                <w:lang w:eastAsia="el-GR"/>
              </w:rPr>
              <w:t xml:space="preserve">Σταθερότητα   </w:t>
            </w:r>
            <w:r w:rsidRPr="00F74646">
              <w:rPr>
                <w:rFonts w:ascii="Times New Roman" w:hAnsi="Times New Roman"/>
                <w:lang w:eastAsia="el-GR"/>
              </w:rPr>
              <w:t>(η αγορά κινήθηκε στα ίδια επίπεδα)</w:t>
            </w:r>
            <w:r>
              <w:rPr>
                <w:rFonts w:ascii="Times New Roman" w:hAnsi="Times New Roman"/>
                <w:b/>
                <w:bCs/>
                <w:lang w:eastAsia="el-GR"/>
              </w:rPr>
              <w:t xml:space="preserve"> </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11.</w:t>
            </w:r>
            <w:r>
              <w:rPr>
                <w:rFonts w:ascii="Times New Roman" w:hAnsi="Times New Roman"/>
                <w:lang w:eastAsia="el-GR"/>
              </w:rPr>
              <w:t xml:space="preserve">  Ε.Σ.  Παλαιού Φαλήρου</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10%</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12.</w:t>
            </w:r>
            <w:r>
              <w:rPr>
                <w:rFonts w:ascii="Times New Roman" w:hAnsi="Times New Roman"/>
                <w:lang w:eastAsia="el-GR"/>
              </w:rPr>
              <w:t xml:space="preserve">  Ε.Σ.  Νίκαιας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13.</w:t>
            </w:r>
            <w:r>
              <w:rPr>
                <w:rFonts w:ascii="Times New Roman" w:hAnsi="Times New Roman"/>
                <w:lang w:eastAsia="el-GR"/>
              </w:rPr>
              <w:t xml:space="preserve">  Ε.Σ.  Ιλίου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Pr>
                <w:rFonts w:ascii="Times New Roman" w:hAnsi="Times New Roman"/>
                <w:bCs/>
                <w:lang w:val="en-US" w:eastAsia="el-GR"/>
              </w:rPr>
              <w:t>20-2</w:t>
            </w:r>
            <w:r>
              <w:rPr>
                <w:rFonts w:ascii="Times New Roman" w:hAnsi="Times New Roman"/>
                <w:bCs/>
                <w:lang w:eastAsia="el-GR"/>
              </w:rPr>
              <w:t>5</w:t>
            </w:r>
            <w:r w:rsidRPr="00BC117A">
              <w:rPr>
                <w:rFonts w:ascii="Times New Roman" w:hAnsi="Times New Roman"/>
                <w:bCs/>
                <w:lang w:val="en-US" w:eastAsia="el-GR"/>
              </w:rPr>
              <w:t>%</w:t>
            </w:r>
          </w:p>
        </w:tc>
      </w:tr>
      <w:tr w:rsidR="00364DC5" w:rsidRPr="00722D8B"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14.</w:t>
            </w:r>
            <w:r w:rsidRPr="00DA61A3">
              <w:rPr>
                <w:rFonts w:ascii="Times New Roman" w:hAnsi="Times New Roman"/>
                <w:lang w:eastAsia="el-GR"/>
              </w:rPr>
              <w:t xml:space="preserve">  Ε.Σ.  Γλυφάδας</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jc w:val="center"/>
              <w:rPr>
                <w:rFonts w:ascii="Times New Roman" w:hAnsi="Times New Roman"/>
                <w:lang w:eastAsia="el-GR"/>
              </w:rPr>
            </w:pPr>
            <w:r w:rsidRPr="006F371B">
              <w:rPr>
                <w:rFonts w:ascii="Times New Roman" w:hAnsi="Times New Roman"/>
                <w:b/>
                <w:bCs/>
                <w:lang w:eastAsia="el-GR"/>
              </w:rPr>
              <w:t xml:space="preserve">Πτώση </w:t>
            </w:r>
            <w:r w:rsidRPr="006F371B">
              <w:rPr>
                <w:rFonts w:ascii="Times New Roman" w:hAnsi="Times New Roman"/>
                <w:bCs/>
                <w:lang w:eastAsia="el-GR"/>
              </w:rPr>
              <w:t>5</w:t>
            </w:r>
            <w:r w:rsidRPr="006F371B">
              <w:rPr>
                <w:rFonts w:ascii="Times New Roman" w:hAnsi="Times New Roman"/>
                <w:bCs/>
                <w:lang w:val="en-US" w:eastAsia="el-GR"/>
              </w:rPr>
              <w:t>%</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15.</w:t>
            </w:r>
            <w:r w:rsidRPr="00DA61A3">
              <w:rPr>
                <w:rFonts w:ascii="Times New Roman" w:hAnsi="Times New Roman"/>
                <w:lang w:eastAsia="el-GR"/>
              </w:rPr>
              <w:t xml:space="preserve"> Ε.Σ.  Κερατσινίου - Δραπετσώνας</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jc w:val="center"/>
              <w:rPr>
                <w:rFonts w:ascii="Times New Roman" w:hAnsi="Times New Roman"/>
                <w:lang w:eastAsia="el-GR"/>
              </w:rPr>
            </w:pPr>
            <w:r w:rsidRPr="00B508E8">
              <w:rPr>
                <w:rFonts w:ascii="Times New Roman" w:hAnsi="Times New Roman"/>
                <w:b/>
                <w:bCs/>
                <w:lang w:eastAsia="el-GR"/>
              </w:rPr>
              <w:t xml:space="preserve">Πτώση </w:t>
            </w:r>
            <w:r w:rsidRPr="00B508E8">
              <w:rPr>
                <w:rFonts w:ascii="Times New Roman" w:hAnsi="Times New Roman"/>
                <w:bCs/>
                <w:lang w:eastAsia="el-GR"/>
              </w:rPr>
              <w:t>20</w:t>
            </w:r>
            <w:r w:rsidRPr="00B508E8">
              <w:rPr>
                <w:rFonts w:ascii="Times New Roman" w:hAnsi="Times New Roman"/>
                <w:bCs/>
                <w:lang w:val="en-US" w:eastAsia="el-GR"/>
              </w:rPr>
              <w:t>-</w:t>
            </w:r>
            <w:r w:rsidRPr="00B508E8">
              <w:rPr>
                <w:rFonts w:ascii="Times New Roman" w:hAnsi="Times New Roman"/>
                <w:bCs/>
                <w:lang w:eastAsia="el-GR"/>
              </w:rPr>
              <w:t>3</w:t>
            </w:r>
            <w:r w:rsidRPr="00B508E8">
              <w:rPr>
                <w:rFonts w:ascii="Times New Roman" w:hAnsi="Times New Roman"/>
                <w:bCs/>
                <w:lang w:val="en-US" w:eastAsia="el-GR"/>
              </w:rPr>
              <w:t>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eastAsia="el-GR"/>
              </w:rPr>
              <w:t xml:space="preserve">16.  </w:t>
            </w:r>
            <w:r>
              <w:rPr>
                <w:rFonts w:ascii="Times New Roman" w:hAnsi="Times New Roman"/>
                <w:lang w:eastAsia="el-GR"/>
              </w:rPr>
              <w:t>Ε.Σ.</w:t>
            </w:r>
            <w:r>
              <w:rPr>
                <w:rFonts w:ascii="Times New Roman" w:hAnsi="Times New Roman"/>
                <w:b/>
                <w:lang w:eastAsia="el-GR"/>
              </w:rPr>
              <w:t xml:space="preserve">  </w:t>
            </w:r>
            <w:r>
              <w:rPr>
                <w:rFonts w:ascii="Times New Roman" w:hAnsi="Times New Roman"/>
                <w:lang w:eastAsia="el-GR"/>
              </w:rPr>
              <w:t>Καλλιθέας</w:t>
            </w:r>
          </w:p>
        </w:tc>
        <w:tc>
          <w:tcPr>
            <w:tcW w:w="6095"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jc w:val="center"/>
              <w:rPr>
                <w:rFonts w:ascii="Times New Roman" w:hAnsi="Times New Roman"/>
                <w:b/>
                <w:bCs/>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15-20%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eastAsia="el-GR"/>
              </w:rPr>
              <w:t xml:space="preserve">17. </w:t>
            </w:r>
            <w:r>
              <w:rPr>
                <w:rFonts w:ascii="Times New Roman" w:hAnsi="Times New Roman"/>
                <w:lang w:eastAsia="el-GR"/>
              </w:rPr>
              <w:t xml:space="preserve">Ε.Σ.  </w:t>
            </w:r>
            <w:r>
              <w:rPr>
                <w:rFonts w:ascii="Times New Roman" w:hAnsi="Times New Roman"/>
                <w:b/>
                <w:lang w:eastAsia="el-GR"/>
              </w:rPr>
              <w:t xml:space="preserve"> </w:t>
            </w:r>
            <w:r>
              <w:rPr>
                <w:rFonts w:ascii="Times New Roman" w:hAnsi="Times New Roman"/>
                <w:lang w:eastAsia="el-GR"/>
              </w:rPr>
              <w:t>Μοσχάτου</w:t>
            </w:r>
          </w:p>
        </w:tc>
        <w:tc>
          <w:tcPr>
            <w:tcW w:w="6095"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jc w:val="center"/>
              <w:rPr>
                <w:rFonts w:ascii="Times New Roman" w:hAnsi="Times New Roman"/>
                <w:b/>
                <w:bCs/>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Pr>
                <w:rFonts w:ascii="Times New Roman" w:hAnsi="Times New Roman"/>
                <w:bCs/>
                <w:lang w:val="en-US" w:eastAsia="el-GR"/>
              </w:rPr>
              <w:t>10-1</w:t>
            </w:r>
            <w:r>
              <w:rPr>
                <w:rFonts w:ascii="Times New Roman" w:hAnsi="Times New Roman"/>
                <w:bCs/>
                <w:lang w:eastAsia="el-GR"/>
              </w:rPr>
              <w:t>5</w:t>
            </w:r>
            <w:r w:rsidRPr="00BC117A">
              <w:rPr>
                <w:rFonts w:ascii="Times New Roman" w:hAnsi="Times New Roman"/>
                <w:bCs/>
                <w:lang w:val="en-US" w:eastAsia="el-GR"/>
              </w:rPr>
              <w:t>%</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eastAsia="el-GR"/>
              </w:rPr>
              <w:t xml:space="preserve">18.  </w:t>
            </w:r>
            <w:r>
              <w:rPr>
                <w:rFonts w:ascii="Times New Roman" w:hAnsi="Times New Roman"/>
                <w:lang w:eastAsia="el-GR"/>
              </w:rPr>
              <w:t>Ε.Σ.  Κηφισιάς</w:t>
            </w:r>
          </w:p>
        </w:tc>
        <w:tc>
          <w:tcPr>
            <w:tcW w:w="6095"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jc w:val="center"/>
              <w:rPr>
                <w:rFonts w:ascii="Times New Roman" w:hAnsi="Times New Roman"/>
                <w:b/>
                <w:bCs/>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10%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eastAsia="el-GR"/>
              </w:rPr>
              <w:t xml:space="preserve">19.  </w:t>
            </w:r>
            <w:r>
              <w:rPr>
                <w:rFonts w:ascii="Times New Roman" w:hAnsi="Times New Roman"/>
                <w:lang w:eastAsia="el-GR"/>
              </w:rPr>
              <w:t>Ε.Σ.  Αμαρουσίου</w:t>
            </w:r>
          </w:p>
        </w:tc>
        <w:tc>
          <w:tcPr>
            <w:tcW w:w="6095"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jc w:val="center"/>
              <w:rPr>
                <w:rFonts w:ascii="Times New Roman" w:hAnsi="Times New Roman"/>
                <w:b/>
                <w:bCs/>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20.</w:t>
            </w:r>
            <w:r>
              <w:rPr>
                <w:rFonts w:ascii="Times New Roman" w:hAnsi="Times New Roman"/>
                <w:lang w:eastAsia="el-GR"/>
              </w:rPr>
              <w:t xml:space="preserve">  Ε.Σ.  Ρεθύμνου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15%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21.</w:t>
            </w:r>
            <w:r>
              <w:rPr>
                <w:rFonts w:ascii="Times New Roman" w:hAnsi="Times New Roman"/>
                <w:lang w:eastAsia="el-GR"/>
              </w:rPr>
              <w:t xml:space="preserve">  Ε.Σ.  Θήρας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20%</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22.</w:t>
            </w:r>
            <w:r>
              <w:rPr>
                <w:rFonts w:ascii="Times New Roman" w:hAnsi="Times New Roman"/>
                <w:lang w:eastAsia="el-GR"/>
              </w:rPr>
              <w:t xml:space="preserve">  Ε.Σ.  Έδεσσας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10-20%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23.</w:t>
            </w:r>
            <w:r>
              <w:rPr>
                <w:rFonts w:ascii="Times New Roman" w:hAnsi="Times New Roman"/>
                <w:lang w:eastAsia="el-GR"/>
              </w:rPr>
              <w:t xml:space="preserve">  Ε.Σ.  Γρεβενών</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B508E8">
              <w:rPr>
                <w:rFonts w:ascii="Times New Roman" w:hAnsi="Times New Roman"/>
                <w:b/>
                <w:bCs/>
                <w:lang w:eastAsia="el-GR"/>
              </w:rPr>
              <w:t xml:space="preserve">Πτώση </w:t>
            </w:r>
            <w:r w:rsidRPr="00B508E8">
              <w:rPr>
                <w:rFonts w:ascii="Times New Roman" w:hAnsi="Times New Roman"/>
                <w:bCs/>
                <w:lang w:eastAsia="el-GR"/>
              </w:rPr>
              <w:t>άνω του 30</w:t>
            </w:r>
            <w:r w:rsidRPr="00B508E8">
              <w:rPr>
                <w:rFonts w:ascii="Times New Roman" w:hAnsi="Times New Roman"/>
                <w:bCs/>
                <w:lang w:val="en-US" w:eastAsia="el-GR"/>
              </w:rPr>
              <w:t>%</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24.</w:t>
            </w:r>
            <w:r>
              <w:rPr>
                <w:rFonts w:ascii="Times New Roman" w:hAnsi="Times New Roman"/>
                <w:lang w:eastAsia="el-GR"/>
              </w:rPr>
              <w:t xml:space="preserve">  Ε.Σ.  Γιαννιτσών</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30%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25.</w:t>
            </w:r>
            <w:r>
              <w:rPr>
                <w:rFonts w:ascii="Times New Roman" w:hAnsi="Times New Roman"/>
                <w:lang w:eastAsia="el-GR"/>
              </w:rPr>
              <w:t xml:space="preserve">  Ε.Σ.  Βέροιας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15%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26.</w:t>
            </w:r>
            <w:r>
              <w:rPr>
                <w:rFonts w:ascii="Times New Roman" w:hAnsi="Times New Roman"/>
                <w:lang w:eastAsia="el-GR"/>
              </w:rPr>
              <w:t xml:space="preserve">  Ε.Σ.  Ναυπλίου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bCs/>
                <w:lang w:val="en-US" w:eastAsia="el-GR"/>
              </w:rPr>
              <w:t>25-30%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highlight w:val="cyan"/>
                <w:lang w:eastAsia="el-GR"/>
              </w:rPr>
            </w:pPr>
            <w:r w:rsidRPr="00715617">
              <w:rPr>
                <w:rFonts w:ascii="Times New Roman" w:hAnsi="Times New Roman"/>
                <w:b/>
                <w:lang w:eastAsia="el-GR"/>
              </w:rPr>
              <w:t>27.</w:t>
            </w:r>
            <w:r w:rsidRPr="00715617">
              <w:rPr>
                <w:rFonts w:ascii="Times New Roman" w:hAnsi="Times New Roman"/>
                <w:lang w:eastAsia="el-GR"/>
              </w:rPr>
              <w:t xml:space="preserve">  Ε.Σ.  Κορίνθου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783BE5">
              <w:rPr>
                <w:rFonts w:ascii="Times New Roman" w:hAnsi="Times New Roman"/>
                <w:b/>
                <w:bCs/>
                <w:lang w:eastAsia="el-GR"/>
              </w:rPr>
              <w:t>Πτώση</w:t>
            </w:r>
            <w:r w:rsidRPr="00783BE5">
              <w:rPr>
                <w:rFonts w:ascii="Times New Roman" w:hAnsi="Times New Roman"/>
                <w:lang w:eastAsia="el-GR"/>
              </w:rPr>
              <w:t xml:space="preserve"> 10-20%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28.</w:t>
            </w:r>
            <w:r>
              <w:rPr>
                <w:rFonts w:ascii="Times New Roman" w:hAnsi="Times New Roman"/>
                <w:lang w:eastAsia="el-GR"/>
              </w:rPr>
              <w:t xml:space="preserve">  Ε.Σ.  Κιάτου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proofErr w:type="spellStart"/>
            <w:r w:rsidRPr="00BC117A">
              <w:rPr>
                <w:rFonts w:ascii="Times New Roman" w:hAnsi="Times New Roman"/>
                <w:bCs/>
                <w:lang w:val="en-US" w:eastAsia="el-GR"/>
              </w:rPr>
              <w:t>άνω</w:t>
            </w:r>
            <w:proofErr w:type="spellEnd"/>
            <w:r w:rsidRPr="00BC117A">
              <w:rPr>
                <w:rFonts w:ascii="Times New Roman" w:hAnsi="Times New Roman"/>
                <w:bCs/>
                <w:lang w:val="en-US" w:eastAsia="el-GR"/>
              </w:rPr>
              <w:t xml:space="preserve"> </w:t>
            </w:r>
            <w:proofErr w:type="spellStart"/>
            <w:r w:rsidRPr="00BC117A">
              <w:rPr>
                <w:rFonts w:ascii="Times New Roman" w:hAnsi="Times New Roman"/>
                <w:bCs/>
                <w:lang w:val="en-US" w:eastAsia="el-GR"/>
              </w:rPr>
              <w:t>του</w:t>
            </w:r>
            <w:proofErr w:type="spellEnd"/>
            <w:r w:rsidRPr="00BC117A">
              <w:rPr>
                <w:rFonts w:ascii="Times New Roman" w:hAnsi="Times New Roman"/>
                <w:bCs/>
                <w:lang w:val="en-US" w:eastAsia="el-GR"/>
              </w:rPr>
              <w:t xml:space="preserve"> 30%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29.</w:t>
            </w:r>
            <w:r>
              <w:rPr>
                <w:rFonts w:ascii="Times New Roman" w:hAnsi="Times New Roman"/>
                <w:lang w:eastAsia="el-GR"/>
              </w:rPr>
              <w:t xml:space="preserve">  Ε.Σ.  Σύρου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Pr>
                <w:rFonts w:ascii="Times New Roman" w:hAnsi="Times New Roman"/>
                <w:b/>
                <w:bCs/>
                <w:lang w:eastAsia="el-GR"/>
              </w:rPr>
              <w:t xml:space="preserve">Σταθερότητα   </w:t>
            </w:r>
            <w:r w:rsidRPr="00F74646">
              <w:rPr>
                <w:rFonts w:ascii="Times New Roman" w:hAnsi="Times New Roman"/>
                <w:lang w:eastAsia="el-GR"/>
              </w:rPr>
              <w:t>(η αγορά κινήθηκε στα ίδια επίπεδα)</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30.</w:t>
            </w:r>
            <w:r>
              <w:rPr>
                <w:rFonts w:ascii="Times New Roman" w:hAnsi="Times New Roman"/>
                <w:lang w:eastAsia="el-GR"/>
              </w:rPr>
              <w:t xml:space="preserve">  Ε.Σ.  Νάξου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BC117A">
              <w:rPr>
                <w:rFonts w:ascii="Times New Roman" w:hAnsi="Times New Roman"/>
                <w:b/>
                <w:lang w:eastAsia="el-GR"/>
              </w:rPr>
              <w:t>Άνοδος</w:t>
            </w:r>
            <w:r>
              <w:rPr>
                <w:rFonts w:ascii="Times New Roman" w:hAnsi="Times New Roman"/>
                <w:lang w:eastAsia="el-GR"/>
              </w:rPr>
              <w:t xml:space="preserve"> 15%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highlight w:val="cyan"/>
                <w:lang w:eastAsia="el-GR"/>
              </w:rPr>
            </w:pPr>
            <w:r w:rsidRPr="0045770E">
              <w:rPr>
                <w:rFonts w:ascii="Times New Roman" w:hAnsi="Times New Roman"/>
                <w:b/>
                <w:lang w:eastAsia="el-GR"/>
              </w:rPr>
              <w:t>31.</w:t>
            </w:r>
            <w:r w:rsidRPr="0045770E">
              <w:rPr>
                <w:rFonts w:ascii="Times New Roman" w:hAnsi="Times New Roman"/>
                <w:lang w:eastAsia="el-GR"/>
              </w:rPr>
              <w:t xml:space="preserve">  Ε.Σ.  Καλαμάτας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783BE5">
              <w:rPr>
                <w:rFonts w:ascii="Times New Roman" w:hAnsi="Times New Roman"/>
                <w:b/>
                <w:bCs/>
                <w:lang w:eastAsia="el-GR"/>
              </w:rPr>
              <w:t xml:space="preserve">Πτώση </w:t>
            </w:r>
            <w:r w:rsidRPr="00783BE5">
              <w:rPr>
                <w:rFonts w:ascii="Times New Roman" w:hAnsi="Times New Roman"/>
                <w:bCs/>
                <w:lang w:eastAsia="el-GR"/>
              </w:rPr>
              <w:t>10%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 xml:space="preserve">32.  </w:t>
            </w:r>
            <w:r>
              <w:rPr>
                <w:rFonts w:ascii="Times New Roman" w:hAnsi="Times New Roman"/>
                <w:lang w:eastAsia="el-GR"/>
              </w:rPr>
              <w:t>Ε.Σ.  Ζακύνθου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25%</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 xml:space="preserve">33.  </w:t>
            </w:r>
            <w:r>
              <w:rPr>
                <w:rFonts w:ascii="Times New Roman" w:hAnsi="Times New Roman"/>
                <w:lang w:eastAsia="el-GR"/>
              </w:rPr>
              <w:t>Ε.Σ.  Αργοστολίου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50%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3</w:t>
            </w:r>
            <w:r>
              <w:rPr>
                <w:rFonts w:ascii="Times New Roman" w:hAnsi="Times New Roman"/>
                <w:b/>
                <w:lang w:eastAsia="el-GR"/>
              </w:rPr>
              <w:t>4</w:t>
            </w:r>
            <w:r w:rsidRPr="00DA61A3">
              <w:rPr>
                <w:rFonts w:ascii="Times New Roman" w:hAnsi="Times New Roman"/>
                <w:b/>
                <w:lang w:eastAsia="el-GR"/>
              </w:rPr>
              <w:t xml:space="preserve">.  </w:t>
            </w:r>
            <w:r w:rsidRPr="00DA61A3">
              <w:rPr>
                <w:rFonts w:ascii="Times New Roman" w:hAnsi="Times New Roman"/>
                <w:lang w:eastAsia="el-GR"/>
              </w:rPr>
              <w:t>Ε.Σ.  Μυτιλήνης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3</w:t>
            </w:r>
            <w:r>
              <w:rPr>
                <w:rFonts w:ascii="Times New Roman" w:hAnsi="Times New Roman"/>
                <w:b/>
                <w:lang w:eastAsia="el-GR"/>
              </w:rPr>
              <w:t>5</w:t>
            </w:r>
            <w:r w:rsidRPr="00DA61A3">
              <w:rPr>
                <w:rFonts w:ascii="Times New Roman" w:hAnsi="Times New Roman"/>
                <w:b/>
                <w:lang w:eastAsia="el-GR"/>
              </w:rPr>
              <w:t xml:space="preserve">.  </w:t>
            </w:r>
            <w:r w:rsidRPr="00DA61A3">
              <w:rPr>
                <w:rFonts w:ascii="Times New Roman" w:hAnsi="Times New Roman"/>
                <w:lang w:eastAsia="el-GR"/>
              </w:rPr>
              <w:t>Ε.Σ.  Λιβαδειάς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3</w:t>
            </w:r>
            <w:r>
              <w:rPr>
                <w:rFonts w:ascii="Times New Roman" w:hAnsi="Times New Roman"/>
                <w:b/>
                <w:lang w:eastAsia="el-GR"/>
              </w:rPr>
              <w:t>6</w:t>
            </w:r>
            <w:r w:rsidRPr="00DA61A3">
              <w:rPr>
                <w:rFonts w:ascii="Times New Roman" w:hAnsi="Times New Roman"/>
                <w:b/>
                <w:lang w:eastAsia="el-GR"/>
              </w:rPr>
              <w:t xml:space="preserve">.  </w:t>
            </w:r>
            <w:r w:rsidRPr="00DA61A3">
              <w:rPr>
                <w:rFonts w:ascii="Times New Roman" w:hAnsi="Times New Roman"/>
                <w:lang w:eastAsia="el-GR"/>
              </w:rPr>
              <w:t>Ε.Σ.  Καρδίτσας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40%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3</w:t>
            </w:r>
            <w:r>
              <w:rPr>
                <w:rFonts w:ascii="Times New Roman" w:hAnsi="Times New Roman"/>
                <w:b/>
                <w:lang w:eastAsia="el-GR"/>
              </w:rPr>
              <w:t>7</w:t>
            </w:r>
            <w:r w:rsidRPr="00DA61A3">
              <w:rPr>
                <w:rFonts w:ascii="Times New Roman" w:hAnsi="Times New Roman"/>
                <w:b/>
                <w:lang w:eastAsia="el-GR"/>
              </w:rPr>
              <w:t xml:space="preserve">.  </w:t>
            </w:r>
            <w:r w:rsidRPr="00DA61A3">
              <w:rPr>
                <w:rFonts w:ascii="Times New Roman" w:hAnsi="Times New Roman"/>
                <w:lang w:eastAsia="el-GR"/>
              </w:rPr>
              <w:t>Ε.Σ.  Αγρινίου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15-20%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3</w:t>
            </w:r>
            <w:r>
              <w:rPr>
                <w:rFonts w:ascii="Times New Roman" w:hAnsi="Times New Roman"/>
                <w:b/>
                <w:lang w:eastAsia="el-GR"/>
              </w:rPr>
              <w:t>8</w:t>
            </w:r>
            <w:r w:rsidRPr="00DA61A3">
              <w:rPr>
                <w:rFonts w:ascii="Times New Roman" w:hAnsi="Times New Roman"/>
                <w:b/>
                <w:lang w:eastAsia="el-GR"/>
              </w:rPr>
              <w:t xml:space="preserve">.  </w:t>
            </w:r>
            <w:r w:rsidRPr="00DA61A3">
              <w:rPr>
                <w:rFonts w:ascii="Times New Roman" w:hAnsi="Times New Roman"/>
                <w:lang w:eastAsia="el-GR"/>
              </w:rPr>
              <w:t>Ε.Σ.  Πύργου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15-20%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Pr>
                <w:rFonts w:ascii="Times New Roman" w:hAnsi="Times New Roman"/>
                <w:b/>
                <w:lang w:eastAsia="el-GR"/>
              </w:rPr>
              <w:t>39</w:t>
            </w:r>
            <w:r w:rsidRPr="00DA61A3">
              <w:rPr>
                <w:rFonts w:ascii="Times New Roman" w:hAnsi="Times New Roman"/>
                <w:b/>
                <w:lang w:eastAsia="el-GR"/>
              </w:rPr>
              <w:t xml:space="preserve">.  </w:t>
            </w:r>
            <w:r w:rsidRPr="00DA61A3">
              <w:rPr>
                <w:rFonts w:ascii="Times New Roman" w:hAnsi="Times New Roman"/>
                <w:lang w:eastAsia="el-GR"/>
              </w:rPr>
              <w:t>Ε.Σ.  Καστοριάς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25-30%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4</w:t>
            </w:r>
            <w:r>
              <w:rPr>
                <w:rFonts w:ascii="Times New Roman" w:hAnsi="Times New Roman"/>
                <w:b/>
                <w:lang w:eastAsia="el-GR"/>
              </w:rPr>
              <w:t>0</w:t>
            </w:r>
            <w:r w:rsidRPr="00DA61A3">
              <w:rPr>
                <w:rFonts w:ascii="Times New Roman" w:hAnsi="Times New Roman"/>
                <w:b/>
                <w:lang w:eastAsia="el-GR"/>
              </w:rPr>
              <w:t xml:space="preserve">.  </w:t>
            </w:r>
            <w:r w:rsidRPr="00DA61A3">
              <w:rPr>
                <w:rFonts w:ascii="Times New Roman" w:hAnsi="Times New Roman"/>
                <w:lang w:eastAsia="el-GR"/>
              </w:rPr>
              <w:t>Ε.Σ.  Κοζάνης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 xml:space="preserve">41.  </w:t>
            </w:r>
            <w:r>
              <w:rPr>
                <w:rFonts w:ascii="Times New Roman" w:hAnsi="Times New Roman"/>
                <w:lang w:eastAsia="el-GR"/>
              </w:rPr>
              <w:t>Ε.Σ.  Πτολεμαΐδας</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20%</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 xml:space="preserve">42.  </w:t>
            </w:r>
            <w:r>
              <w:rPr>
                <w:rFonts w:ascii="Times New Roman" w:hAnsi="Times New Roman"/>
                <w:lang w:eastAsia="el-GR"/>
              </w:rPr>
              <w:t>Ε.Σ.  Ρόδου</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 xml:space="preserve">43.  </w:t>
            </w:r>
            <w:r>
              <w:rPr>
                <w:rFonts w:ascii="Times New Roman" w:hAnsi="Times New Roman"/>
                <w:lang w:eastAsia="el-GR"/>
              </w:rPr>
              <w:t>Ε.Σ.  Φλώρινας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30-40%</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 xml:space="preserve">44.  </w:t>
            </w:r>
            <w:r>
              <w:rPr>
                <w:rFonts w:ascii="Times New Roman" w:hAnsi="Times New Roman"/>
                <w:lang w:eastAsia="el-GR"/>
              </w:rPr>
              <w:t>Ε.Σ.  Χαλκίδας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Pr>
                <w:rFonts w:ascii="Times New Roman" w:hAnsi="Times New Roman"/>
                <w:b/>
                <w:bCs/>
                <w:lang w:eastAsia="el-GR"/>
              </w:rPr>
              <w:t xml:space="preserve">35% στα ίδια επίπεδα – 45% κατέγραψαν πτώση – 20% </w:t>
            </w:r>
            <w:r>
              <w:rPr>
                <w:rFonts w:ascii="Times New Roman" w:hAnsi="Times New Roman"/>
                <w:b/>
                <w:bCs/>
                <w:lang w:eastAsia="el-GR"/>
              </w:rPr>
              <w:lastRenderedPageBreak/>
              <w:t>κατέγραψαν άνοδο</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lastRenderedPageBreak/>
              <w:t>45.</w:t>
            </w:r>
            <w:r>
              <w:rPr>
                <w:rFonts w:ascii="Times New Roman" w:hAnsi="Times New Roman"/>
                <w:lang w:eastAsia="el-GR"/>
              </w:rPr>
              <w:t xml:space="preserve">  Ε.Σ.  Τρικάλων </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15-25%</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46.</w:t>
            </w:r>
            <w:r>
              <w:rPr>
                <w:rFonts w:ascii="Times New Roman" w:hAnsi="Times New Roman"/>
                <w:lang w:eastAsia="el-GR"/>
              </w:rPr>
              <w:t xml:space="preserve">  Ε.Σ.  Ηγουμενίτσας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w:t>
            </w:r>
            <w:r>
              <w:rPr>
                <w:rFonts w:ascii="Times New Roman" w:hAnsi="Times New Roman"/>
                <w:lang w:eastAsia="el-GR"/>
              </w:rPr>
              <w:t>0</w:t>
            </w:r>
            <w:r w:rsidRPr="00BC117A">
              <w:rPr>
                <w:rFonts w:ascii="Times New Roman" w:hAnsi="Times New Roman"/>
                <w:lang w:eastAsia="el-GR"/>
              </w:rPr>
              <w:t>%</w:t>
            </w:r>
          </w:p>
        </w:tc>
      </w:tr>
      <w:tr w:rsidR="00364DC5" w:rsidRPr="00722D8B"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722D8B" w:rsidRDefault="00364DC5" w:rsidP="00364DC5">
            <w:pPr>
              <w:spacing w:after="0" w:line="240" w:lineRule="auto"/>
              <w:rPr>
                <w:rFonts w:ascii="Times New Roman" w:hAnsi="Times New Roman"/>
                <w:color w:val="17365D" w:themeColor="text2" w:themeShade="BF"/>
                <w:lang w:eastAsia="el-GR"/>
              </w:rPr>
            </w:pPr>
            <w:r>
              <w:rPr>
                <w:rFonts w:ascii="Times New Roman" w:hAnsi="Times New Roman"/>
                <w:b/>
                <w:lang w:eastAsia="el-GR"/>
              </w:rPr>
              <w:t>47</w:t>
            </w:r>
            <w:r w:rsidRPr="0092027B">
              <w:rPr>
                <w:rFonts w:ascii="Times New Roman" w:hAnsi="Times New Roman"/>
                <w:b/>
                <w:lang w:eastAsia="el-GR"/>
              </w:rPr>
              <w:t>.</w:t>
            </w:r>
            <w:r w:rsidRPr="0092027B">
              <w:rPr>
                <w:rFonts w:ascii="Times New Roman" w:hAnsi="Times New Roman"/>
                <w:lang w:eastAsia="el-GR"/>
              </w:rPr>
              <w:t xml:space="preserve">  Ε.Σ.  Αλεξανδρούπολης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Pr="0092027B" w:rsidRDefault="00364DC5" w:rsidP="00364DC5">
            <w:pPr>
              <w:spacing w:after="0" w:line="240" w:lineRule="auto"/>
              <w:jc w:val="center"/>
              <w:rPr>
                <w:rFonts w:ascii="Times New Roman" w:hAnsi="Times New Roman"/>
                <w:lang w:eastAsia="el-GR"/>
              </w:rPr>
            </w:pPr>
            <w:r w:rsidRPr="006F371B">
              <w:rPr>
                <w:rFonts w:ascii="Times New Roman" w:hAnsi="Times New Roman"/>
                <w:b/>
                <w:bCs/>
                <w:lang w:eastAsia="el-GR"/>
              </w:rPr>
              <w:t>Πτώση</w:t>
            </w:r>
            <w:r w:rsidRPr="006F371B">
              <w:rPr>
                <w:rFonts w:ascii="Times New Roman" w:hAnsi="Times New Roman"/>
                <w:lang w:eastAsia="el-GR"/>
              </w:rPr>
              <w:t xml:space="preserve"> 10 – 15%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val="en-US" w:eastAsia="el-GR"/>
              </w:rPr>
              <w:t>4</w:t>
            </w:r>
            <w:r>
              <w:rPr>
                <w:rFonts w:ascii="Times New Roman" w:hAnsi="Times New Roman"/>
                <w:b/>
                <w:lang w:eastAsia="el-GR"/>
              </w:rPr>
              <w:t>8.</w:t>
            </w:r>
            <w:r>
              <w:rPr>
                <w:rFonts w:ascii="Times New Roman" w:hAnsi="Times New Roman"/>
                <w:lang w:eastAsia="el-GR"/>
              </w:rPr>
              <w:t xml:space="preserve">  Ε.Σ.  Ιεράπετρας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B508E8">
              <w:rPr>
                <w:rFonts w:ascii="Times New Roman" w:hAnsi="Times New Roman"/>
                <w:b/>
                <w:bCs/>
                <w:lang w:eastAsia="el-GR"/>
              </w:rPr>
              <w:t xml:space="preserve">Άνοδος </w:t>
            </w:r>
            <w:r w:rsidRPr="00B508E8">
              <w:rPr>
                <w:rFonts w:ascii="Times New Roman" w:hAnsi="Times New Roman"/>
                <w:bCs/>
                <w:lang w:val="en-US" w:eastAsia="el-GR"/>
              </w:rPr>
              <w:t>5-</w:t>
            </w:r>
            <w:r w:rsidRPr="00B508E8">
              <w:rPr>
                <w:rFonts w:ascii="Times New Roman" w:hAnsi="Times New Roman"/>
                <w:bCs/>
                <w:lang w:eastAsia="el-GR"/>
              </w:rPr>
              <w:t>1</w:t>
            </w:r>
            <w:r w:rsidRPr="00B508E8">
              <w:rPr>
                <w:rFonts w:ascii="Times New Roman" w:hAnsi="Times New Roman"/>
                <w:bCs/>
                <w:lang w:val="en-US" w:eastAsia="el-GR"/>
              </w:rPr>
              <w:t>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49.</w:t>
            </w:r>
            <w:r>
              <w:rPr>
                <w:rFonts w:ascii="Times New Roman" w:hAnsi="Times New Roman"/>
                <w:lang w:eastAsia="el-GR"/>
              </w:rPr>
              <w:t xml:space="preserve">  Ε.Σ.  Θηβών</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50%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50.</w:t>
            </w:r>
            <w:r>
              <w:rPr>
                <w:rFonts w:ascii="Times New Roman" w:hAnsi="Times New Roman"/>
                <w:lang w:eastAsia="el-GR"/>
              </w:rPr>
              <w:t xml:space="preserve">  Ε.Σ.  Λαμίας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30%</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5</w:t>
            </w:r>
            <w:r>
              <w:rPr>
                <w:rFonts w:ascii="Times New Roman" w:hAnsi="Times New Roman"/>
                <w:b/>
                <w:lang w:eastAsia="el-GR"/>
              </w:rPr>
              <w:t>1</w:t>
            </w:r>
            <w:r w:rsidRPr="00DA61A3">
              <w:rPr>
                <w:rFonts w:ascii="Times New Roman" w:hAnsi="Times New Roman"/>
                <w:b/>
                <w:lang w:eastAsia="el-GR"/>
              </w:rPr>
              <w:t>.</w:t>
            </w:r>
            <w:r w:rsidRPr="00DA61A3">
              <w:rPr>
                <w:rFonts w:ascii="Times New Roman" w:hAnsi="Times New Roman"/>
                <w:lang w:eastAsia="el-GR"/>
              </w:rPr>
              <w:t xml:space="preserve">  Ε.Σ.  Λευκάδας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30-40%</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5</w:t>
            </w:r>
            <w:r>
              <w:rPr>
                <w:rFonts w:ascii="Times New Roman" w:hAnsi="Times New Roman"/>
                <w:b/>
                <w:lang w:eastAsia="el-GR"/>
              </w:rPr>
              <w:t>2</w:t>
            </w:r>
            <w:r w:rsidRPr="00DA61A3">
              <w:rPr>
                <w:rFonts w:ascii="Times New Roman" w:hAnsi="Times New Roman"/>
                <w:b/>
                <w:lang w:eastAsia="el-GR"/>
              </w:rPr>
              <w:t>.</w:t>
            </w:r>
            <w:r w:rsidRPr="00DA61A3">
              <w:rPr>
                <w:rFonts w:ascii="Times New Roman" w:hAnsi="Times New Roman"/>
                <w:lang w:eastAsia="el-GR"/>
              </w:rPr>
              <w:t xml:space="preserve">  Ε.Σ.  Ιωαννίνων</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20-30%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spacing w:after="0" w:line="240" w:lineRule="auto"/>
              <w:rPr>
                <w:rFonts w:ascii="Times New Roman" w:hAnsi="Times New Roman"/>
                <w:lang w:eastAsia="el-GR"/>
              </w:rPr>
            </w:pPr>
            <w:r w:rsidRPr="00DA61A3">
              <w:rPr>
                <w:rFonts w:ascii="Times New Roman" w:hAnsi="Times New Roman"/>
                <w:b/>
                <w:lang w:eastAsia="el-GR"/>
              </w:rPr>
              <w:t>5</w:t>
            </w:r>
            <w:r>
              <w:rPr>
                <w:rFonts w:ascii="Times New Roman" w:hAnsi="Times New Roman"/>
                <w:b/>
                <w:lang w:eastAsia="el-GR"/>
              </w:rPr>
              <w:t>3</w:t>
            </w:r>
            <w:r w:rsidRPr="00DA61A3">
              <w:rPr>
                <w:rFonts w:ascii="Times New Roman" w:hAnsi="Times New Roman"/>
                <w:b/>
                <w:lang w:eastAsia="el-GR"/>
              </w:rPr>
              <w:t>.</w:t>
            </w:r>
            <w:r w:rsidRPr="00DA61A3">
              <w:rPr>
                <w:rFonts w:ascii="Times New Roman" w:hAnsi="Times New Roman"/>
                <w:lang w:eastAsia="el-GR"/>
              </w:rPr>
              <w:t xml:space="preserve">  Ε.Σ.  Άρτας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60%</w:t>
            </w:r>
          </w:p>
        </w:tc>
      </w:tr>
      <w:tr w:rsidR="00364DC5" w:rsidTr="00364DC5">
        <w:tc>
          <w:tcPr>
            <w:tcW w:w="2977" w:type="dxa"/>
            <w:tcBorders>
              <w:top w:val="single" w:sz="4" w:space="0" w:color="auto"/>
              <w:left w:val="single" w:sz="4" w:space="0" w:color="auto"/>
              <w:bottom w:val="single" w:sz="4" w:space="0" w:color="auto"/>
              <w:right w:val="single" w:sz="4" w:space="0" w:color="auto"/>
            </w:tcBorders>
            <w:vAlign w:val="center"/>
            <w:hideMark/>
          </w:tcPr>
          <w:p w:rsidR="00364DC5" w:rsidRPr="00DA61A3" w:rsidRDefault="00364DC5" w:rsidP="00364DC5">
            <w:pPr>
              <w:spacing w:after="0" w:line="240" w:lineRule="auto"/>
              <w:rPr>
                <w:rFonts w:ascii="Times New Roman" w:hAnsi="Times New Roman"/>
                <w:b/>
                <w:lang w:eastAsia="el-GR"/>
              </w:rPr>
            </w:pPr>
            <w:r w:rsidRPr="00DA61A3">
              <w:rPr>
                <w:rFonts w:ascii="Times New Roman" w:hAnsi="Times New Roman"/>
                <w:b/>
                <w:lang w:eastAsia="el-GR"/>
              </w:rPr>
              <w:t>5</w:t>
            </w:r>
            <w:r>
              <w:rPr>
                <w:rFonts w:ascii="Times New Roman" w:hAnsi="Times New Roman"/>
                <w:b/>
                <w:lang w:eastAsia="el-GR"/>
              </w:rPr>
              <w:t>4</w:t>
            </w:r>
            <w:r w:rsidRPr="00DA61A3">
              <w:rPr>
                <w:rFonts w:ascii="Times New Roman" w:hAnsi="Times New Roman"/>
                <w:b/>
                <w:lang w:eastAsia="el-GR"/>
              </w:rPr>
              <w:t xml:space="preserve">.  Ε.Σ.  </w:t>
            </w:r>
            <w:r w:rsidRPr="00DA61A3">
              <w:rPr>
                <w:rFonts w:ascii="Times New Roman" w:hAnsi="Times New Roman"/>
                <w:lang w:eastAsia="el-GR"/>
              </w:rPr>
              <w:t>Σερρών</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364DC5">
            <w:pPr>
              <w:spacing w:after="0" w:line="240" w:lineRule="auto"/>
              <w:jc w:val="center"/>
              <w:rPr>
                <w:rFonts w:ascii="Times New Roman" w:hAnsi="Times New Roman"/>
                <w:lang w:eastAsia="el-GR"/>
              </w:rPr>
            </w:pPr>
            <w:r w:rsidRPr="00BC117A">
              <w:rPr>
                <w:rFonts w:ascii="Times New Roman" w:hAnsi="Times New Roman"/>
                <w:b/>
                <w:lang w:eastAsia="el-GR"/>
              </w:rPr>
              <w:t>Πτώση</w:t>
            </w:r>
            <w:r>
              <w:rPr>
                <w:rFonts w:ascii="Times New Roman" w:hAnsi="Times New Roman"/>
                <w:lang w:eastAsia="el-GR"/>
              </w:rPr>
              <w:t xml:space="preserve"> </w:t>
            </w:r>
            <w:r w:rsidRPr="00BC117A">
              <w:rPr>
                <w:rFonts w:ascii="Times New Roman" w:hAnsi="Times New Roman"/>
                <w:lang w:eastAsia="el-GR"/>
              </w:rPr>
              <w:t>70%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Pr="00DA61A3" w:rsidRDefault="00364DC5" w:rsidP="00364DC5">
            <w:pPr>
              <w:tabs>
                <w:tab w:val="left" w:pos="2355"/>
              </w:tabs>
              <w:spacing w:after="0" w:line="240" w:lineRule="auto"/>
              <w:rPr>
                <w:rFonts w:ascii="Times New Roman" w:hAnsi="Times New Roman"/>
                <w:b/>
                <w:lang w:eastAsia="el-GR"/>
              </w:rPr>
            </w:pPr>
            <w:r w:rsidRPr="00DA61A3">
              <w:rPr>
                <w:rFonts w:ascii="Times New Roman" w:hAnsi="Times New Roman"/>
                <w:b/>
                <w:lang w:eastAsia="el-GR"/>
              </w:rPr>
              <w:t>5</w:t>
            </w:r>
            <w:r>
              <w:rPr>
                <w:rFonts w:ascii="Times New Roman" w:hAnsi="Times New Roman"/>
                <w:b/>
                <w:lang w:eastAsia="el-GR"/>
              </w:rPr>
              <w:t>5</w:t>
            </w:r>
            <w:r w:rsidRPr="00DA61A3">
              <w:rPr>
                <w:rFonts w:ascii="Times New Roman" w:hAnsi="Times New Roman"/>
                <w:b/>
                <w:lang w:eastAsia="el-GR"/>
              </w:rPr>
              <w:t xml:space="preserve">.  Ε.Σ.  </w:t>
            </w:r>
            <w:r w:rsidRPr="00DA61A3">
              <w:rPr>
                <w:rFonts w:ascii="Times New Roman" w:hAnsi="Times New Roman"/>
                <w:lang w:eastAsia="el-GR"/>
              </w:rPr>
              <w:t>Κομοτηνής</w:t>
            </w:r>
            <w:r w:rsidRPr="00DA61A3">
              <w:rPr>
                <w:rFonts w:ascii="Times New Roman" w:hAnsi="Times New Roman"/>
                <w:b/>
                <w:lang w:eastAsia="el-GR"/>
              </w:rPr>
              <w:tab/>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lang w:eastAsia="el-GR"/>
              </w:rPr>
            </w:pPr>
            <w:r>
              <w:rPr>
                <w:rFonts w:ascii="Times New Roman" w:hAnsi="Times New Roman"/>
                <w:b/>
                <w:lang w:eastAsia="el-GR"/>
              </w:rPr>
              <w:t>56.</w:t>
            </w:r>
            <w:r>
              <w:rPr>
                <w:rFonts w:ascii="Times New Roman" w:hAnsi="Times New Roman"/>
                <w:lang w:eastAsia="el-GR"/>
              </w:rPr>
              <w:t xml:space="preserve">  Ε.Σ.  Κατερίνης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30%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eastAsia="el-GR"/>
              </w:rPr>
              <w:t xml:space="preserve">57.  </w:t>
            </w:r>
            <w:r>
              <w:rPr>
                <w:rFonts w:ascii="Times New Roman" w:hAnsi="Times New Roman"/>
                <w:lang w:eastAsia="el-GR"/>
              </w:rPr>
              <w:t>Ε.Σ.  Σάμου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b/>
                <w:bCs/>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20%</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val="en-US" w:eastAsia="el-GR"/>
              </w:rPr>
              <w:t>5</w:t>
            </w:r>
            <w:r>
              <w:rPr>
                <w:rFonts w:ascii="Times New Roman" w:hAnsi="Times New Roman"/>
                <w:b/>
                <w:lang w:eastAsia="el-GR"/>
              </w:rPr>
              <w:t xml:space="preserve">8.  </w:t>
            </w:r>
            <w:r>
              <w:rPr>
                <w:rFonts w:ascii="Times New Roman" w:hAnsi="Times New Roman"/>
                <w:lang w:eastAsia="el-GR"/>
              </w:rPr>
              <w:t>Ε.Σ.  Δράμας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b/>
                <w:bCs/>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25%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eastAsia="el-GR"/>
              </w:rPr>
              <w:t xml:space="preserve">59.  </w:t>
            </w:r>
            <w:r>
              <w:rPr>
                <w:rFonts w:ascii="Times New Roman" w:hAnsi="Times New Roman"/>
                <w:lang w:eastAsia="el-GR"/>
              </w:rPr>
              <w:t>Ε.Σ.  Ξάνθης</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b/>
                <w:bCs/>
                <w:lang w:eastAsia="el-GR"/>
              </w:rPr>
            </w:pPr>
            <w:r w:rsidRPr="00F74646">
              <w:rPr>
                <w:rFonts w:ascii="Times New Roman" w:hAnsi="Times New Roman"/>
                <w:b/>
                <w:bCs/>
                <w:lang w:eastAsia="el-GR"/>
              </w:rPr>
              <w:t>Πτώση</w:t>
            </w:r>
            <w:r>
              <w:rPr>
                <w:rFonts w:ascii="Times New Roman" w:hAnsi="Times New Roman"/>
                <w:b/>
                <w:bCs/>
                <w:lang w:eastAsia="el-GR"/>
              </w:rPr>
              <w:t xml:space="preserve"> </w:t>
            </w:r>
            <w:r w:rsidRPr="00BC117A">
              <w:rPr>
                <w:rFonts w:ascii="Times New Roman" w:hAnsi="Times New Roman"/>
                <w:lang w:eastAsia="el-GR"/>
              </w:rPr>
              <w:t>15%</w:t>
            </w:r>
          </w:p>
        </w:tc>
      </w:tr>
      <w:tr w:rsidR="00364DC5" w:rsidTr="00364DC5">
        <w:tc>
          <w:tcPr>
            <w:tcW w:w="2977" w:type="dxa"/>
            <w:tcBorders>
              <w:top w:val="single" w:sz="4" w:space="0" w:color="auto"/>
              <w:left w:val="single" w:sz="4" w:space="0" w:color="auto"/>
              <w:bottom w:val="single" w:sz="4" w:space="0" w:color="auto"/>
              <w:right w:val="single" w:sz="4" w:space="0" w:color="auto"/>
            </w:tcBorders>
            <w:hideMark/>
          </w:tcPr>
          <w:p w:rsidR="00364DC5" w:rsidRDefault="00364DC5" w:rsidP="00364DC5">
            <w:pPr>
              <w:spacing w:after="0" w:line="240" w:lineRule="auto"/>
              <w:rPr>
                <w:rFonts w:ascii="Times New Roman" w:hAnsi="Times New Roman"/>
                <w:b/>
                <w:lang w:eastAsia="el-GR"/>
              </w:rPr>
            </w:pPr>
            <w:r>
              <w:rPr>
                <w:rFonts w:ascii="Times New Roman" w:hAnsi="Times New Roman"/>
                <w:b/>
                <w:lang w:eastAsia="el-GR"/>
              </w:rPr>
              <w:t xml:space="preserve">60.  </w:t>
            </w:r>
            <w:r>
              <w:rPr>
                <w:rFonts w:ascii="Times New Roman" w:hAnsi="Times New Roman"/>
                <w:lang w:eastAsia="el-GR"/>
              </w:rPr>
              <w:t>Ε.Σ.  Πάρου</w:t>
            </w:r>
          </w:p>
        </w:tc>
        <w:tc>
          <w:tcPr>
            <w:tcW w:w="6095" w:type="dxa"/>
            <w:tcBorders>
              <w:top w:val="single" w:sz="4" w:space="0" w:color="auto"/>
              <w:left w:val="single" w:sz="4" w:space="0" w:color="auto"/>
              <w:bottom w:val="single" w:sz="4" w:space="0" w:color="auto"/>
              <w:right w:val="single" w:sz="4" w:space="0" w:color="auto"/>
            </w:tcBorders>
            <w:vAlign w:val="bottom"/>
            <w:hideMark/>
          </w:tcPr>
          <w:p w:rsidR="00364DC5" w:rsidRDefault="00364DC5" w:rsidP="00364DC5">
            <w:pPr>
              <w:spacing w:after="0" w:line="240" w:lineRule="auto"/>
              <w:jc w:val="center"/>
              <w:rPr>
                <w:rFonts w:ascii="Times New Roman" w:hAnsi="Times New Roman"/>
                <w:b/>
                <w:bCs/>
                <w:lang w:eastAsia="el-GR"/>
              </w:rPr>
            </w:pPr>
            <w:r>
              <w:rPr>
                <w:rFonts w:ascii="Times New Roman" w:hAnsi="Times New Roman"/>
                <w:b/>
                <w:lang w:eastAsia="el-GR"/>
              </w:rPr>
              <w:t xml:space="preserve">Πτώση </w:t>
            </w:r>
            <w:r w:rsidRPr="00BC117A">
              <w:rPr>
                <w:rFonts w:ascii="Times New Roman" w:hAnsi="Times New Roman"/>
                <w:lang w:eastAsia="el-GR"/>
              </w:rPr>
              <w:t>20%</w:t>
            </w:r>
            <w:r>
              <w:rPr>
                <w:rFonts w:ascii="Times New Roman" w:hAnsi="Times New Roman"/>
                <w:lang w:eastAsia="el-GR"/>
              </w:rPr>
              <w:t xml:space="preserve"> </w:t>
            </w:r>
          </w:p>
        </w:tc>
      </w:tr>
      <w:tr w:rsidR="00364DC5" w:rsidTr="00364DC5">
        <w:trPr>
          <w:trHeight w:val="435"/>
        </w:trPr>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64DC5" w:rsidRDefault="00364DC5" w:rsidP="00364DC5">
            <w:pPr>
              <w:spacing w:after="0" w:line="240" w:lineRule="auto"/>
              <w:rPr>
                <w:b/>
                <w:sz w:val="26"/>
                <w:szCs w:val="26"/>
                <w:lang w:eastAsia="el-GR"/>
              </w:rPr>
            </w:pPr>
            <w:r>
              <w:rPr>
                <w:b/>
                <w:sz w:val="26"/>
                <w:szCs w:val="26"/>
                <w:lang w:eastAsia="el-GR"/>
              </w:rPr>
              <w:t>ΜΕΣΟΣ ΟΡΟΣ ΠΤΩΣΗΣ</w:t>
            </w:r>
          </w:p>
        </w:tc>
        <w:tc>
          <w:tcPr>
            <w:tcW w:w="609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64DC5" w:rsidRDefault="00364DC5" w:rsidP="00364DC5">
            <w:pPr>
              <w:spacing w:after="0" w:line="240" w:lineRule="auto"/>
              <w:jc w:val="center"/>
              <w:rPr>
                <w:rFonts w:ascii="Times New Roman" w:hAnsi="Times New Roman"/>
                <w:b/>
                <w:sz w:val="26"/>
                <w:szCs w:val="26"/>
                <w:lang w:eastAsia="el-GR"/>
              </w:rPr>
            </w:pPr>
            <w:r w:rsidRPr="00783BE5">
              <w:rPr>
                <w:rFonts w:ascii="Times New Roman" w:hAnsi="Times New Roman"/>
                <w:b/>
                <w:sz w:val="26"/>
                <w:szCs w:val="26"/>
                <w:lang w:eastAsia="el-GR"/>
              </w:rPr>
              <w:t>-20,8%</w:t>
            </w:r>
          </w:p>
        </w:tc>
      </w:tr>
    </w:tbl>
    <w:p w:rsidR="00CF1E5D" w:rsidRPr="005F591A" w:rsidRDefault="00CF1E5D" w:rsidP="00CF1E5D">
      <w:pPr>
        <w:jc w:val="both"/>
      </w:pPr>
    </w:p>
    <w:sectPr w:rsidR="00CF1E5D" w:rsidRPr="005F591A" w:rsidSect="009120C2">
      <w:footerReference w:type="default" r:id="rId18"/>
      <w:pgSz w:w="11906" w:h="16838"/>
      <w:pgMar w:top="426" w:right="17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16" w:rsidRDefault="00DC0B16" w:rsidP="003355BE">
      <w:pPr>
        <w:spacing w:after="0" w:line="240" w:lineRule="auto"/>
      </w:pPr>
      <w:r>
        <w:separator/>
      </w:r>
    </w:p>
  </w:endnote>
  <w:endnote w:type="continuationSeparator" w:id="0">
    <w:p w:rsidR="00DC0B16" w:rsidRDefault="00DC0B16" w:rsidP="00335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F UI Display">
    <w:altName w:val="Times New Roman"/>
    <w:panose1 w:val="00000000000000000000"/>
    <w:charset w:val="00"/>
    <w:family w:val="roman"/>
    <w:notTrueType/>
    <w:pitch w:val="default"/>
    <w:sig w:usb0="00000000" w:usb1="00000000" w:usb2="00000000" w:usb3="00000000" w:csb0="00000000" w:csb1="00000000"/>
  </w:font>
  <w:font w:name=".SFUIDisplay-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545469"/>
      <w:docPartObj>
        <w:docPartGallery w:val="Page Numbers (Bottom of Page)"/>
        <w:docPartUnique/>
      </w:docPartObj>
    </w:sdtPr>
    <w:sdtContent>
      <w:p w:rsidR="00BB63AC" w:rsidRDefault="006717ED">
        <w:pPr>
          <w:pStyle w:val="a5"/>
          <w:jc w:val="right"/>
        </w:pPr>
        <w:fldSimple w:instr=" PAGE   \* MERGEFORMAT ">
          <w:r w:rsidR="00EC608F">
            <w:rPr>
              <w:noProof/>
            </w:rPr>
            <w:t>8</w:t>
          </w:r>
        </w:fldSimple>
      </w:p>
    </w:sdtContent>
  </w:sdt>
  <w:p w:rsidR="00BB63AC" w:rsidRDefault="00BB63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16" w:rsidRDefault="00DC0B16" w:rsidP="003355BE">
      <w:pPr>
        <w:spacing w:after="0" w:line="240" w:lineRule="auto"/>
      </w:pPr>
      <w:r>
        <w:separator/>
      </w:r>
    </w:p>
  </w:footnote>
  <w:footnote w:type="continuationSeparator" w:id="0">
    <w:p w:rsidR="00DC0B16" w:rsidRDefault="00DC0B16" w:rsidP="003355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60650"/>
    <w:multiLevelType w:val="hybridMultilevel"/>
    <w:tmpl w:val="AAECC1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02541F"/>
    <w:multiLevelType w:val="hybridMultilevel"/>
    <w:tmpl w:val="B93CC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651080"/>
    <w:multiLevelType w:val="hybridMultilevel"/>
    <w:tmpl w:val="79AEAF10"/>
    <w:lvl w:ilvl="0" w:tplc="00000001">
      <w:start w:val="1"/>
      <w:numFmt w:val="bullet"/>
      <w:lvlText w:val=""/>
      <w:lvlJc w:val="left"/>
      <w:pPr>
        <w:ind w:left="720" w:hanging="360"/>
      </w:pPr>
      <w:rPr>
        <w:rFonts w:ascii="Symbol" w:hAnsi="Symbol" w:cs="Symbol"/>
        <w:sz w:val="28"/>
        <w:szCs w:val="28"/>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27727805"/>
    <w:multiLevelType w:val="hybridMultilevel"/>
    <w:tmpl w:val="6408E30C"/>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5">
    <w:nsid w:val="37A9084A"/>
    <w:multiLevelType w:val="hybridMultilevel"/>
    <w:tmpl w:val="690C5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DB19E7"/>
    <w:multiLevelType w:val="hybridMultilevel"/>
    <w:tmpl w:val="EA6AACF4"/>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8277DE6"/>
    <w:multiLevelType w:val="hybridMultilevel"/>
    <w:tmpl w:val="6E320A02"/>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00A7F61"/>
    <w:multiLevelType w:val="hybridMultilevel"/>
    <w:tmpl w:val="F1D047B6"/>
    <w:lvl w:ilvl="0" w:tplc="371EF540">
      <w:start w:val="1"/>
      <w:numFmt w:val="decimal"/>
      <w:lvlText w:val="%1."/>
      <w:lvlJc w:val="left"/>
      <w:pPr>
        <w:tabs>
          <w:tab w:val="num" w:pos="740"/>
        </w:tabs>
        <w:ind w:left="740" w:hanging="38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9">
    <w:nsid w:val="49F618B0"/>
    <w:multiLevelType w:val="hybridMultilevel"/>
    <w:tmpl w:val="B1A46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C964C78"/>
    <w:multiLevelType w:val="hybridMultilevel"/>
    <w:tmpl w:val="CB5C0406"/>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DBB33A5"/>
    <w:multiLevelType w:val="hybridMultilevel"/>
    <w:tmpl w:val="00285EE8"/>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1B54C93"/>
    <w:multiLevelType w:val="hybridMultilevel"/>
    <w:tmpl w:val="CD828A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80D2643"/>
    <w:multiLevelType w:val="hybridMultilevel"/>
    <w:tmpl w:val="47DE984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5C2D763B"/>
    <w:multiLevelType w:val="hybridMultilevel"/>
    <w:tmpl w:val="FFE6C850"/>
    <w:lvl w:ilvl="0" w:tplc="04080013">
      <w:start w:val="1"/>
      <w:numFmt w:val="upperRoman"/>
      <w:lvlText w:val="%1."/>
      <w:lvlJc w:val="righ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5C5315DE"/>
    <w:multiLevelType w:val="hybridMultilevel"/>
    <w:tmpl w:val="3A089026"/>
    <w:lvl w:ilvl="0" w:tplc="04090001">
      <w:start w:val="1"/>
      <w:numFmt w:val="bullet"/>
      <w:lvlText w:val=""/>
      <w:lvlJc w:val="left"/>
      <w:pPr>
        <w:ind w:left="1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DCA5E29"/>
    <w:multiLevelType w:val="hybridMultilevel"/>
    <w:tmpl w:val="08E8092A"/>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46C12F1"/>
    <w:multiLevelType w:val="hybridMultilevel"/>
    <w:tmpl w:val="4D342C2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7E526933"/>
    <w:multiLevelType w:val="hybridMultilevel"/>
    <w:tmpl w:val="3E0E140E"/>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E6B17A4"/>
    <w:multiLevelType w:val="hybridMultilevel"/>
    <w:tmpl w:val="CC9E5FA8"/>
    <w:lvl w:ilvl="0" w:tplc="00000001">
      <w:start w:val="1"/>
      <w:numFmt w:val="bullet"/>
      <w:lvlText w:val=""/>
      <w:lvlJc w:val="left"/>
      <w:pPr>
        <w:ind w:left="720" w:hanging="360"/>
      </w:pPr>
      <w:rPr>
        <w:rFonts w:ascii="Symbol" w:hAnsi="Symbol" w:cs="Symbol"/>
        <w:sz w:val="28"/>
        <w:szCs w:val="28"/>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2"/>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15CE9"/>
    <w:rsid w:val="00006A75"/>
    <w:rsid w:val="0002389D"/>
    <w:rsid w:val="00052138"/>
    <w:rsid w:val="00066F46"/>
    <w:rsid w:val="0007480A"/>
    <w:rsid w:val="00084AF3"/>
    <w:rsid w:val="000A099E"/>
    <w:rsid w:val="000A2184"/>
    <w:rsid w:val="000B64CE"/>
    <w:rsid w:val="000C05B0"/>
    <w:rsid w:val="000D0B5E"/>
    <w:rsid w:val="00103F08"/>
    <w:rsid w:val="001252FD"/>
    <w:rsid w:val="0012713B"/>
    <w:rsid w:val="001566A7"/>
    <w:rsid w:val="0016634E"/>
    <w:rsid w:val="0016708A"/>
    <w:rsid w:val="00171921"/>
    <w:rsid w:val="0017799A"/>
    <w:rsid w:val="001800DB"/>
    <w:rsid w:val="001852DF"/>
    <w:rsid w:val="00192158"/>
    <w:rsid w:val="00194683"/>
    <w:rsid w:val="001A1235"/>
    <w:rsid w:val="001A4487"/>
    <w:rsid w:val="001D3663"/>
    <w:rsid w:val="001F1252"/>
    <w:rsid w:val="002124F2"/>
    <w:rsid w:val="00223067"/>
    <w:rsid w:val="00225CEA"/>
    <w:rsid w:val="00234DE0"/>
    <w:rsid w:val="0025003D"/>
    <w:rsid w:val="00251B6E"/>
    <w:rsid w:val="002561D7"/>
    <w:rsid w:val="00263C7E"/>
    <w:rsid w:val="00275F27"/>
    <w:rsid w:val="00284E5C"/>
    <w:rsid w:val="002A28C6"/>
    <w:rsid w:val="002A5116"/>
    <w:rsid w:val="002B4907"/>
    <w:rsid w:val="002C47CB"/>
    <w:rsid w:val="002F3649"/>
    <w:rsid w:val="002F4C2E"/>
    <w:rsid w:val="002F73B6"/>
    <w:rsid w:val="00304653"/>
    <w:rsid w:val="00305351"/>
    <w:rsid w:val="003153A3"/>
    <w:rsid w:val="00315D1D"/>
    <w:rsid w:val="00326570"/>
    <w:rsid w:val="00332B9B"/>
    <w:rsid w:val="00333957"/>
    <w:rsid w:val="003355BE"/>
    <w:rsid w:val="00337A00"/>
    <w:rsid w:val="0034621C"/>
    <w:rsid w:val="00353F7E"/>
    <w:rsid w:val="003563E0"/>
    <w:rsid w:val="00357CB1"/>
    <w:rsid w:val="00364DC5"/>
    <w:rsid w:val="00372531"/>
    <w:rsid w:val="003A76FD"/>
    <w:rsid w:val="003B1973"/>
    <w:rsid w:val="003B6526"/>
    <w:rsid w:val="003B7942"/>
    <w:rsid w:val="003C0D75"/>
    <w:rsid w:val="003F50E1"/>
    <w:rsid w:val="00401EB4"/>
    <w:rsid w:val="00413080"/>
    <w:rsid w:val="004240F1"/>
    <w:rsid w:val="0043712D"/>
    <w:rsid w:val="004427EB"/>
    <w:rsid w:val="00451E24"/>
    <w:rsid w:val="00464454"/>
    <w:rsid w:val="00481FA2"/>
    <w:rsid w:val="004B158C"/>
    <w:rsid w:val="004B1639"/>
    <w:rsid w:val="004B4636"/>
    <w:rsid w:val="004C1745"/>
    <w:rsid w:val="004D4874"/>
    <w:rsid w:val="004E081A"/>
    <w:rsid w:val="004F4AAB"/>
    <w:rsid w:val="00503FA5"/>
    <w:rsid w:val="0051692D"/>
    <w:rsid w:val="00516B4D"/>
    <w:rsid w:val="0052054C"/>
    <w:rsid w:val="00532176"/>
    <w:rsid w:val="005328CB"/>
    <w:rsid w:val="00540468"/>
    <w:rsid w:val="0054348D"/>
    <w:rsid w:val="0054562C"/>
    <w:rsid w:val="005502A1"/>
    <w:rsid w:val="005508CC"/>
    <w:rsid w:val="00552288"/>
    <w:rsid w:val="00571891"/>
    <w:rsid w:val="005855C7"/>
    <w:rsid w:val="00587DD8"/>
    <w:rsid w:val="00591083"/>
    <w:rsid w:val="00592D5C"/>
    <w:rsid w:val="00594899"/>
    <w:rsid w:val="00594A88"/>
    <w:rsid w:val="005C567A"/>
    <w:rsid w:val="005C7A60"/>
    <w:rsid w:val="005F0D93"/>
    <w:rsid w:val="005F5867"/>
    <w:rsid w:val="00607FB4"/>
    <w:rsid w:val="0062166F"/>
    <w:rsid w:val="006258F0"/>
    <w:rsid w:val="006427C6"/>
    <w:rsid w:val="0065278F"/>
    <w:rsid w:val="00654A6F"/>
    <w:rsid w:val="00657094"/>
    <w:rsid w:val="00670299"/>
    <w:rsid w:val="006717ED"/>
    <w:rsid w:val="006732AC"/>
    <w:rsid w:val="006931AF"/>
    <w:rsid w:val="0069638F"/>
    <w:rsid w:val="006C52E7"/>
    <w:rsid w:val="006C5B34"/>
    <w:rsid w:val="006D6336"/>
    <w:rsid w:val="006F0993"/>
    <w:rsid w:val="006F5E1C"/>
    <w:rsid w:val="007133C3"/>
    <w:rsid w:val="00723500"/>
    <w:rsid w:val="00725624"/>
    <w:rsid w:val="00727CB2"/>
    <w:rsid w:val="00727D28"/>
    <w:rsid w:val="00742B5E"/>
    <w:rsid w:val="00751BFB"/>
    <w:rsid w:val="007650AD"/>
    <w:rsid w:val="007707EF"/>
    <w:rsid w:val="00776F9A"/>
    <w:rsid w:val="0078329E"/>
    <w:rsid w:val="0079679A"/>
    <w:rsid w:val="007B1D34"/>
    <w:rsid w:val="007B3A41"/>
    <w:rsid w:val="007B3CD9"/>
    <w:rsid w:val="007C4341"/>
    <w:rsid w:val="007C5C44"/>
    <w:rsid w:val="007E19E0"/>
    <w:rsid w:val="007E3107"/>
    <w:rsid w:val="007F099E"/>
    <w:rsid w:val="00826ED4"/>
    <w:rsid w:val="008309C2"/>
    <w:rsid w:val="00847D49"/>
    <w:rsid w:val="00866814"/>
    <w:rsid w:val="00873F55"/>
    <w:rsid w:val="00874156"/>
    <w:rsid w:val="008B1171"/>
    <w:rsid w:val="008B451B"/>
    <w:rsid w:val="008D44B8"/>
    <w:rsid w:val="008F2605"/>
    <w:rsid w:val="00910DC8"/>
    <w:rsid w:val="009120C2"/>
    <w:rsid w:val="00915945"/>
    <w:rsid w:val="009203A7"/>
    <w:rsid w:val="00922B65"/>
    <w:rsid w:val="009236C1"/>
    <w:rsid w:val="00933EFF"/>
    <w:rsid w:val="00947930"/>
    <w:rsid w:val="0095065F"/>
    <w:rsid w:val="0095373F"/>
    <w:rsid w:val="0095629A"/>
    <w:rsid w:val="00957079"/>
    <w:rsid w:val="009725F1"/>
    <w:rsid w:val="00975166"/>
    <w:rsid w:val="0098030C"/>
    <w:rsid w:val="009B3363"/>
    <w:rsid w:val="009C1F9E"/>
    <w:rsid w:val="009C236E"/>
    <w:rsid w:val="009D2F8D"/>
    <w:rsid w:val="009D6079"/>
    <w:rsid w:val="009F69FE"/>
    <w:rsid w:val="00A007A4"/>
    <w:rsid w:val="00A01679"/>
    <w:rsid w:val="00A03F30"/>
    <w:rsid w:val="00A13D1F"/>
    <w:rsid w:val="00A2219D"/>
    <w:rsid w:val="00A53766"/>
    <w:rsid w:val="00A578BF"/>
    <w:rsid w:val="00A83FF4"/>
    <w:rsid w:val="00AA5359"/>
    <w:rsid w:val="00AA78EF"/>
    <w:rsid w:val="00AB29E4"/>
    <w:rsid w:val="00AE0F14"/>
    <w:rsid w:val="00AE2857"/>
    <w:rsid w:val="00AF066D"/>
    <w:rsid w:val="00AF1500"/>
    <w:rsid w:val="00B02D33"/>
    <w:rsid w:val="00B103BC"/>
    <w:rsid w:val="00B32244"/>
    <w:rsid w:val="00B63C90"/>
    <w:rsid w:val="00B734AE"/>
    <w:rsid w:val="00B7592E"/>
    <w:rsid w:val="00B77FDD"/>
    <w:rsid w:val="00BB63AC"/>
    <w:rsid w:val="00BF13E6"/>
    <w:rsid w:val="00BF1D72"/>
    <w:rsid w:val="00BF7604"/>
    <w:rsid w:val="00C001C4"/>
    <w:rsid w:val="00C028C5"/>
    <w:rsid w:val="00C0315E"/>
    <w:rsid w:val="00C15755"/>
    <w:rsid w:val="00C15CE9"/>
    <w:rsid w:val="00C22A27"/>
    <w:rsid w:val="00C242E4"/>
    <w:rsid w:val="00C326BC"/>
    <w:rsid w:val="00C34D2C"/>
    <w:rsid w:val="00C459C0"/>
    <w:rsid w:val="00C51C9E"/>
    <w:rsid w:val="00C667D6"/>
    <w:rsid w:val="00C70810"/>
    <w:rsid w:val="00CB4F30"/>
    <w:rsid w:val="00CC3B05"/>
    <w:rsid w:val="00CC4B5B"/>
    <w:rsid w:val="00CD00F6"/>
    <w:rsid w:val="00CD0E67"/>
    <w:rsid w:val="00CE21C8"/>
    <w:rsid w:val="00CE2D76"/>
    <w:rsid w:val="00CE50A9"/>
    <w:rsid w:val="00CE6300"/>
    <w:rsid w:val="00CF1E5D"/>
    <w:rsid w:val="00D14BF6"/>
    <w:rsid w:val="00D31D8D"/>
    <w:rsid w:val="00D44554"/>
    <w:rsid w:val="00D450E5"/>
    <w:rsid w:val="00D455DF"/>
    <w:rsid w:val="00D55A03"/>
    <w:rsid w:val="00D6348E"/>
    <w:rsid w:val="00D675DA"/>
    <w:rsid w:val="00D705A5"/>
    <w:rsid w:val="00D77F34"/>
    <w:rsid w:val="00D828D0"/>
    <w:rsid w:val="00D843AD"/>
    <w:rsid w:val="00D9113E"/>
    <w:rsid w:val="00D919D0"/>
    <w:rsid w:val="00D92E9C"/>
    <w:rsid w:val="00DB5613"/>
    <w:rsid w:val="00DC0B16"/>
    <w:rsid w:val="00DC705B"/>
    <w:rsid w:val="00DD0A5A"/>
    <w:rsid w:val="00DD4951"/>
    <w:rsid w:val="00DD57DA"/>
    <w:rsid w:val="00DE7773"/>
    <w:rsid w:val="00E06593"/>
    <w:rsid w:val="00E23BF1"/>
    <w:rsid w:val="00E24FFE"/>
    <w:rsid w:val="00E3059A"/>
    <w:rsid w:val="00E33195"/>
    <w:rsid w:val="00E528AA"/>
    <w:rsid w:val="00E64512"/>
    <w:rsid w:val="00E70D7A"/>
    <w:rsid w:val="00E71E65"/>
    <w:rsid w:val="00E77EB5"/>
    <w:rsid w:val="00E8466D"/>
    <w:rsid w:val="00E96015"/>
    <w:rsid w:val="00EA2BF8"/>
    <w:rsid w:val="00EA5EE2"/>
    <w:rsid w:val="00EB3C2E"/>
    <w:rsid w:val="00EC4733"/>
    <w:rsid w:val="00EC608F"/>
    <w:rsid w:val="00EE18AA"/>
    <w:rsid w:val="00EF2778"/>
    <w:rsid w:val="00EF63A1"/>
    <w:rsid w:val="00F273D9"/>
    <w:rsid w:val="00F72521"/>
    <w:rsid w:val="00F92E99"/>
    <w:rsid w:val="00F93FB6"/>
    <w:rsid w:val="00FA421E"/>
    <w:rsid w:val="00FA6F60"/>
    <w:rsid w:val="00FB609B"/>
    <w:rsid w:val="00FC472D"/>
    <w:rsid w:val="00FD2B15"/>
    <w:rsid w:val="00FD2D80"/>
    <w:rsid w:val="00FE1EEE"/>
    <w:rsid w:val="00FE5F4C"/>
    <w:rsid w:val="00FE6090"/>
    <w:rsid w:val="00FF17D7"/>
    <w:rsid w:val="00FF3E75"/>
    <w:rsid w:val="00FF43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2"/>
  </w:style>
  <w:style w:type="paragraph" w:styleId="2">
    <w:name w:val="heading 2"/>
    <w:basedOn w:val="a"/>
    <w:next w:val="a"/>
    <w:link w:val="2Char"/>
    <w:qFormat/>
    <w:rsid w:val="00E06593"/>
    <w:pPr>
      <w:keepNext/>
      <w:keepLines/>
      <w:spacing w:before="200" w:after="0"/>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5C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15CE9"/>
    <w:rPr>
      <w:rFonts w:ascii="Tahoma" w:hAnsi="Tahoma" w:cs="Tahoma"/>
      <w:sz w:val="16"/>
      <w:szCs w:val="16"/>
    </w:rPr>
  </w:style>
  <w:style w:type="paragraph" w:styleId="a4">
    <w:name w:val="header"/>
    <w:basedOn w:val="a"/>
    <w:link w:val="Char0"/>
    <w:uiPriority w:val="99"/>
    <w:semiHidden/>
    <w:unhideWhenUsed/>
    <w:rsid w:val="003355BE"/>
    <w:pPr>
      <w:tabs>
        <w:tab w:val="center" w:pos="4153"/>
        <w:tab w:val="right" w:pos="8306"/>
      </w:tabs>
      <w:spacing w:after="0" w:line="240" w:lineRule="auto"/>
    </w:pPr>
  </w:style>
  <w:style w:type="character" w:customStyle="1" w:styleId="Char0">
    <w:name w:val="Κεφαλίδα Char"/>
    <w:basedOn w:val="a0"/>
    <w:link w:val="a4"/>
    <w:uiPriority w:val="99"/>
    <w:semiHidden/>
    <w:rsid w:val="003355BE"/>
  </w:style>
  <w:style w:type="paragraph" w:styleId="a5">
    <w:name w:val="footer"/>
    <w:basedOn w:val="a"/>
    <w:link w:val="Char1"/>
    <w:uiPriority w:val="99"/>
    <w:unhideWhenUsed/>
    <w:rsid w:val="003355BE"/>
    <w:pPr>
      <w:tabs>
        <w:tab w:val="center" w:pos="4153"/>
        <w:tab w:val="right" w:pos="8306"/>
      </w:tabs>
      <w:spacing w:after="0" w:line="240" w:lineRule="auto"/>
    </w:pPr>
  </w:style>
  <w:style w:type="character" w:customStyle="1" w:styleId="Char1">
    <w:name w:val="Υποσέλιδο Char"/>
    <w:basedOn w:val="a0"/>
    <w:link w:val="a5"/>
    <w:uiPriority w:val="99"/>
    <w:rsid w:val="003355BE"/>
  </w:style>
  <w:style w:type="paragraph" w:customStyle="1" w:styleId="s10">
    <w:name w:val="s10"/>
    <w:basedOn w:val="a"/>
    <w:rsid w:val="00532176"/>
    <w:pPr>
      <w:spacing w:before="100" w:beforeAutospacing="1" w:after="100" w:afterAutospacing="1" w:line="240" w:lineRule="auto"/>
    </w:pPr>
    <w:rPr>
      <w:rFonts w:ascii="Times New Roman" w:hAnsi="Times New Roman" w:cs="Times New Roman"/>
      <w:sz w:val="24"/>
      <w:szCs w:val="24"/>
      <w:lang w:eastAsia="el-GR"/>
    </w:rPr>
  </w:style>
  <w:style w:type="paragraph" w:customStyle="1" w:styleId="s12">
    <w:name w:val="s12"/>
    <w:basedOn w:val="a"/>
    <w:rsid w:val="00532176"/>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9">
    <w:name w:val="s9"/>
    <w:basedOn w:val="a0"/>
    <w:rsid w:val="00532176"/>
  </w:style>
  <w:style w:type="character" w:customStyle="1" w:styleId="s11">
    <w:name w:val="s11"/>
    <w:basedOn w:val="a0"/>
    <w:rsid w:val="00532176"/>
  </w:style>
  <w:style w:type="character" w:customStyle="1" w:styleId="s13">
    <w:name w:val="s13"/>
    <w:basedOn w:val="a0"/>
    <w:rsid w:val="00532176"/>
  </w:style>
  <w:style w:type="paragraph" w:customStyle="1" w:styleId="s5">
    <w:name w:val="s5"/>
    <w:basedOn w:val="a"/>
    <w:rsid w:val="007E3107"/>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3">
    <w:name w:val="s3"/>
    <w:basedOn w:val="a0"/>
    <w:rsid w:val="007E3107"/>
  </w:style>
  <w:style w:type="character" w:customStyle="1" w:styleId="s8">
    <w:name w:val="s8"/>
    <w:basedOn w:val="a0"/>
    <w:rsid w:val="007E3107"/>
  </w:style>
  <w:style w:type="paragraph" w:styleId="a6">
    <w:name w:val="List Paragraph"/>
    <w:basedOn w:val="a"/>
    <w:uiPriority w:val="34"/>
    <w:qFormat/>
    <w:rsid w:val="004C1745"/>
    <w:pPr>
      <w:ind w:left="720"/>
      <w:contextualSpacing/>
    </w:pPr>
    <w:rPr>
      <w:rFonts w:ascii="Calibri" w:eastAsia="Calibri" w:hAnsi="Calibri" w:cs="Times New Roman"/>
    </w:rPr>
  </w:style>
  <w:style w:type="paragraph" w:styleId="20">
    <w:name w:val="Body Text Indent 2"/>
    <w:basedOn w:val="a"/>
    <w:link w:val="2Char0"/>
    <w:rsid w:val="001800DB"/>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0"/>
    <w:link w:val="20"/>
    <w:rsid w:val="001800DB"/>
    <w:rPr>
      <w:rFonts w:ascii="Times New Roman" w:eastAsia="Times New Roman" w:hAnsi="Times New Roman" w:cs="Times New Roman"/>
      <w:sz w:val="24"/>
      <w:szCs w:val="24"/>
      <w:lang w:eastAsia="el-GR"/>
    </w:rPr>
  </w:style>
  <w:style w:type="paragraph" w:styleId="Web">
    <w:name w:val="Normal (Web)"/>
    <w:basedOn w:val="a"/>
    <w:uiPriority w:val="99"/>
    <w:unhideWhenUsed/>
    <w:rsid w:val="00552288"/>
    <w:pPr>
      <w:spacing w:before="100" w:beforeAutospacing="1" w:after="100" w:afterAutospacing="1" w:line="240" w:lineRule="auto"/>
    </w:pPr>
    <w:rPr>
      <w:rFonts w:ascii="Times New Roman" w:hAnsi="Times New Roman" w:cs="Times New Roman"/>
      <w:sz w:val="24"/>
      <w:szCs w:val="24"/>
      <w:lang w:eastAsia="el-GR"/>
    </w:rPr>
  </w:style>
  <w:style w:type="character" w:styleId="a7">
    <w:name w:val="Emphasis"/>
    <w:basedOn w:val="a0"/>
    <w:qFormat/>
    <w:rsid w:val="00CD00F6"/>
    <w:rPr>
      <w:i/>
      <w:iCs/>
    </w:rPr>
  </w:style>
  <w:style w:type="paragraph" w:customStyle="1" w:styleId="s4">
    <w:name w:val="s4"/>
    <w:basedOn w:val="a"/>
    <w:rsid w:val="005F5867"/>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iv3201444370msonormal">
    <w:name w:val="yiv3201444370msonormal"/>
    <w:basedOn w:val="a"/>
    <w:rsid w:val="00654A6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ody Text"/>
    <w:basedOn w:val="a"/>
    <w:link w:val="Char2"/>
    <w:uiPriority w:val="99"/>
    <w:semiHidden/>
    <w:unhideWhenUsed/>
    <w:rsid w:val="006C5B34"/>
    <w:pPr>
      <w:spacing w:after="120"/>
    </w:pPr>
  </w:style>
  <w:style w:type="character" w:customStyle="1" w:styleId="Char2">
    <w:name w:val="Σώμα κειμένου Char"/>
    <w:basedOn w:val="a0"/>
    <w:link w:val="a8"/>
    <w:uiPriority w:val="99"/>
    <w:semiHidden/>
    <w:rsid w:val="006C5B34"/>
  </w:style>
  <w:style w:type="paragraph" w:styleId="a9">
    <w:name w:val="caption"/>
    <w:basedOn w:val="a"/>
    <w:next w:val="a"/>
    <w:semiHidden/>
    <w:unhideWhenUsed/>
    <w:qFormat/>
    <w:rsid w:val="006C5B34"/>
    <w:pPr>
      <w:spacing w:after="0" w:line="240" w:lineRule="auto"/>
      <w:jc w:val="center"/>
    </w:pPr>
    <w:rPr>
      <w:rFonts w:ascii="Times New Roman" w:eastAsia="Times New Roman" w:hAnsi="Times New Roman" w:cs="Times New Roman"/>
      <w:b/>
      <w:bCs/>
      <w:i/>
      <w:iCs/>
      <w:sz w:val="24"/>
      <w:szCs w:val="24"/>
      <w:lang w:eastAsia="el-GR"/>
    </w:rPr>
  </w:style>
  <w:style w:type="paragraph" w:customStyle="1" w:styleId="s2">
    <w:name w:val="s2"/>
    <w:basedOn w:val="a"/>
    <w:rsid w:val="006C5B34"/>
    <w:pPr>
      <w:spacing w:before="100" w:beforeAutospacing="1" w:after="100" w:afterAutospacing="1" w:line="240" w:lineRule="auto"/>
    </w:pPr>
    <w:rPr>
      <w:rFonts w:ascii="Times New Roman" w:hAnsi="Times New Roman" w:cs="Times New Roman"/>
      <w:sz w:val="24"/>
      <w:szCs w:val="24"/>
      <w:lang w:eastAsia="el-GR"/>
    </w:rPr>
  </w:style>
  <w:style w:type="character" w:customStyle="1" w:styleId="bumpedfont15">
    <w:name w:val="bumpedfont15"/>
    <w:basedOn w:val="a0"/>
    <w:rsid w:val="006C5B34"/>
  </w:style>
  <w:style w:type="paragraph" w:styleId="aa">
    <w:name w:val="footnote text"/>
    <w:basedOn w:val="a"/>
    <w:link w:val="Char3"/>
    <w:uiPriority w:val="99"/>
    <w:semiHidden/>
    <w:unhideWhenUsed/>
    <w:rsid w:val="009F69FE"/>
    <w:pPr>
      <w:spacing w:after="0" w:line="240" w:lineRule="auto"/>
    </w:pPr>
    <w:rPr>
      <w:rFonts w:ascii="Times New Roman" w:eastAsia="Times New Roman" w:hAnsi="Times New Roman" w:cs="Times New Roman"/>
      <w:sz w:val="20"/>
      <w:szCs w:val="20"/>
      <w:lang w:eastAsia="el-GR"/>
    </w:rPr>
  </w:style>
  <w:style w:type="character" w:customStyle="1" w:styleId="Char3">
    <w:name w:val="Κείμενο υποσημείωσης Char"/>
    <w:basedOn w:val="a0"/>
    <w:link w:val="aa"/>
    <w:uiPriority w:val="99"/>
    <w:semiHidden/>
    <w:rsid w:val="009F69FE"/>
    <w:rPr>
      <w:rFonts w:ascii="Times New Roman" w:eastAsia="Times New Roman" w:hAnsi="Times New Roman" w:cs="Times New Roman"/>
      <w:sz w:val="20"/>
      <w:szCs w:val="20"/>
      <w:lang w:eastAsia="el-GR"/>
    </w:rPr>
  </w:style>
  <w:style w:type="paragraph" w:customStyle="1" w:styleId="TableParagraph">
    <w:name w:val="Table Paragraph"/>
    <w:basedOn w:val="a"/>
    <w:uiPriority w:val="1"/>
    <w:qFormat/>
    <w:rsid w:val="009F69FE"/>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b">
    <w:name w:val="footnote reference"/>
    <w:basedOn w:val="a0"/>
    <w:uiPriority w:val="99"/>
    <w:semiHidden/>
    <w:unhideWhenUsed/>
    <w:rsid w:val="009F69FE"/>
    <w:rPr>
      <w:vertAlign w:val="superscript"/>
    </w:rPr>
  </w:style>
  <w:style w:type="character" w:styleId="-">
    <w:name w:val="Hyperlink"/>
    <w:basedOn w:val="a0"/>
    <w:uiPriority w:val="99"/>
    <w:semiHidden/>
    <w:unhideWhenUsed/>
    <w:rsid w:val="009F69FE"/>
    <w:rPr>
      <w:color w:val="0000FF"/>
      <w:u w:val="single"/>
    </w:rPr>
  </w:style>
  <w:style w:type="paragraph" w:styleId="ac">
    <w:name w:val="Body Text Indent"/>
    <w:basedOn w:val="a"/>
    <w:link w:val="Char4"/>
    <w:uiPriority w:val="99"/>
    <w:semiHidden/>
    <w:unhideWhenUsed/>
    <w:rsid w:val="009B3363"/>
    <w:pPr>
      <w:spacing w:after="120"/>
      <w:ind w:left="283"/>
    </w:pPr>
  </w:style>
  <w:style w:type="character" w:customStyle="1" w:styleId="Char4">
    <w:name w:val="Σώμα κείμενου με εσοχή Char"/>
    <w:basedOn w:val="a0"/>
    <w:link w:val="ac"/>
    <w:uiPriority w:val="99"/>
    <w:semiHidden/>
    <w:rsid w:val="009B3363"/>
  </w:style>
  <w:style w:type="character" w:styleId="ad">
    <w:name w:val="Strong"/>
    <w:basedOn w:val="a0"/>
    <w:qFormat/>
    <w:rsid w:val="009B3363"/>
    <w:rPr>
      <w:b/>
      <w:bCs/>
    </w:rPr>
  </w:style>
  <w:style w:type="paragraph" w:customStyle="1" w:styleId="s19">
    <w:name w:val="s19"/>
    <w:basedOn w:val="a"/>
    <w:rsid w:val="00E71E65"/>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16">
    <w:name w:val="s16"/>
    <w:basedOn w:val="a0"/>
    <w:rsid w:val="00E71E65"/>
  </w:style>
  <w:style w:type="paragraph" w:customStyle="1" w:styleId="s6">
    <w:name w:val="s6"/>
    <w:basedOn w:val="a"/>
    <w:rsid w:val="002124F2"/>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7">
    <w:name w:val="s7"/>
    <w:basedOn w:val="a0"/>
    <w:rsid w:val="002124F2"/>
  </w:style>
  <w:style w:type="character" w:customStyle="1" w:styleId="s15">
    <w:name w:val="s15"/>
    <w:basedOn w:val="a0"/>
    <w:rsid w:val="002124F2"/>
  </w:style>
  <w:style w:type="paragraph" w:styleId="21">
    <w:name w:val="Body Text 2"/>
    <w:basedOn w:val="a"/>
    <w:link w:val="2Char1"/>
    <w:uiPriority w:val="99"/>
    <w:semiHidden/>
    <w:unhideWhenUsed/>
    <w:rsid w:val="009120C2"/>
    <w:pPr>
      <w:spacing w:after="120" w:line="480" w:lineRule="auto"/>
    </w:pPr>
  </w:style>
  <w:style w:type="character" w:customStyle="1" w:styleId="2Char1">
    <w:name w:val="Σώμα κείμενου 2 Char"/>
    <w:basedOn w:val="a0"/>
    <w:link w:val="21"/>
    <w:uiPriority w:val="99"/>
    <w:semiHidden/>
    <w:rsid w:val="009120C2"/>
  </w:style>
  <w:style w:type="character" w:customStyle="1" w:styleId="s14">
    <w:name w:val="s14"/>
    <w:basedOn w:val="a0"/>
    <w:rsid w:val="00E64512"/>
  </w:style>
  <w:style w:type="paragraph" w:styleId="ae">
    <w:name w:val="Plain Text"/>
    <w:basedOn w:val="a"/>
    <w:link w:val="Char5"/>
    <w:uiPriority w:val="99"/>
    <w:rsid w:val="00E64512"/>
    <w:pPr>
      <w:spacing w:after="0" w:line="240" w:lineRule="auto"/>
    </w:pPr>
    <w:rPr>
      <w:rFonts w:ascii="Consolas" w:eastAsia="Calibri" w:hAnsi="Consolas" w:cs="Times New Roman"/>
      <w:sz w:val="21"/>
      <w:szCs w:val="21"/>
    </w:rPr>
  </w:style>
  <w:style w:type="character" w:customStyle="1" w:styleId="Char5">
    <w:name w:val="Απλό κείμενο Char"/>
    <w:basedOn w:val="a0"/>
    <w:link w:val="ae"/>
    <w:uiPriority w:val="99"/>
    <w:rsid w:val="00E64512"/>
    <w:rPr>
      <w:rFonts w:ascii="Consolas" w:eastAsia="Calibri" w:hAnsi="Consolas" w:cs="Times New Roman"/>
      <w:sz w:val="21"/>
      <w:szCs w:val="21"/>
    </w:rPr>
  </w:style>
  <w:style w:type="character" w:customStyle="1" w:styleId="2Char">
    <w:name w:val="Επικεφαλίδα 2 Char"/>
    <w:basedOn w:val="a0"/>
    <w:link w:val="2"/>
    <w:rsid w:val="00E06593"/>
    <w:rPr>
      <w:rFonts w:ascii="Cambria" w:eastAsia="Calibri" w:hAnsi="Cambria" w:cs="Times New Roman"/>
      <w:b/>
      <w:bCs/>
      <w:color w:val="4F81BD"/>
      <w:sz w:val="26"/>
      <w:szCs w:val="26"/>
    </w:rPr>
  </w:style>
  <w:style w:type="table" w:styleId="af">
    <w:name w:val="Table Grid"/>
    <w:basedOn w:val="a1"/>
    <w:uiPriority w:val="59"/>
    <w:rsid w:val="00E06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CF1E5D"/>
    <w:pPr>
      <w:spacing w:after="0" w:line="240" w:lineRule="auto"/>
    </w:pPr>
    <w:rPr>
      <w:rFonts w:ascii=".SF UI Display" w:hAnsi=".SF UI Display" w:cs="Times New Roman"/>
      <w:color w:val="454545"/>
      <w:sz w:val="35"/>
      <w:szCs w:val="35"/>
      <w:lang w:eastAsia="el-GR"/>
    </w:rPr>
  </w:style>
  <w:style w:type="paragraph" w:customStyle="1" w:styleId="p2">
    <w:name w:val="p2"/>
    <w:basedOn w:val="a"/>
    <w:rsid w:val="00CF1E5D"/>
    <w:pPr>
      <w:spacing w:after="0" w:line="240" w:lineRule="auto"/>
    </w:pPr>
    <w:rPr>
      <w:rFonts w:ascii=".SF UI Display" w:hAnsi=".SF UI Display" w:cs="Times New Roman"/>
      <w:color w:val="454545"/>
      <w:sz w:val="35"/>
      <w:szCs w:val="35"/>
      <w:lang w:eastAsia="el-GR"/>
    </w:rPr>
  </w:style>
  <w:style w:type="character" w:customStyle="1" w:styleId="s1">
    <w:name w:val="s1"/>
    <w:basedOn w:val="a0"/>
    <w:rsid w:val="00CF1E5D"/>
    <w:rPr>
      <w:rFonts w:ascii=".SFUIDisplay-Regular" w:hAnsi=".SFUIDisplay-Regular" w:hint="default"/>
      <w:b w:val="0"/>
      <w:bCs w:val="0"/>
      <w:i w:val="0"/>
      <w:iCs w:val="0"/>
      <w:sz w:val="46"/>
      <w:szCs w:val="46"/>
    </w:rPr>
  </w:style>
  <w:style w:type="character" w:customStyle="1" w:styleId="apple-converted-space">
    <w:name w:val="apple-converted-space"/>
    <w:basedOn w:val="a0"/>
    <w:rsid w:val="00CF1E5D"/>
  </w:style>
</w:styles>
</file>

<file path=word/webSettings.xml><?xml version="1.0" encoding="utf-8"?>
<w:webSettings xmlns:r="http://schemas.openxmlformats.org/officeDocument/2006/relationships" xmlns:w="http://schemas.openxmlformats.org/wordprocessingml/2006/main">
  <w:divs>
    <w:div w:id="9918154">
      <w:bodyDiv w:val="1"/>
      <w:marLeft w:val="0"/>
      <w:marRight w:val="0"/>
      <w:marTop w:val="0"/>
      <w:marBottom w:val="0"/>
      <w:divBdr>
        <w:top w:val="none" w:sz="0" w:space="0" w:color="auto"/>
        <w:left w:val="none" w:sz="0" w:space="0" w:color="auto"/>
        <w:bottom w:val="none" w:sz="0" w:space="0" w:color="auto"/>
        <w:right w:val="none" w:sz="0" w:space="0" w:color="auto"/>
      </w:divBdr>
    </w:div>
    <w:div w:id="370039344">
      <w:bodyDiv w:val="1"/>
      <w:marLeft w:val="0"/>
      <w:marRight w:val="0"/>
      <w:marTop w:val="0"/>
      <w:marBottom w:val="0"/>
      <w:divBdr>
        <w:top w:val="none" w:sz="0" w:space="0" w:color="auto"/>
        <w:left w:val="none" w:sz="0" w:space="0" w:color="auto"/>
        <w:bottom w:val="none" w:sz="0" w:space="0" w:color="auto"/>
        <w:right w:val="none" w:sz="0" w:space="0" w:color="auto"/>
      </w:divBdr>
    </w:div>
    <w:div w:id="466246089">
      <w:bodyDiv w:val="1"/>
      <w:marLeft w:val="0"/>
      <w:marRight w:val="0"/>
      <w:marTop w:val="0"/>
      <w:marBottom w:val="0"/>
      <w:divBdr>
        <w:top w:val="none" w:sz="0" w:space="0" w:color="auto"/>
        <w:left w:val="none" w:sz="0" w:space="0" w:color="auto"/>
        <w:bottom w:val="none" w:sz="0" w:space="0" w:color="auto"/>
        <w:right w:val="none" w:sz="0" w:space="0" w:color="auto"/>
      </w:divBdr>
    </w:div>
    <w:div w:id="466507453">
      <w:bodyDiv w:val="1"/>
      <w:marLeft w:val="0"/>
      <w:marRight w:val="0"/>
      <w:marTop w:val="0"/>
      <w:marBottom w:val="0"/>
      <w:divBdr>
        <w:top w:val="none" w:sz="0" w:space="0" w:color="auto"/>
        <w:left w:val="none" w:sz="0" w:space="0" w:color="auto"/>
        <w:bottom w:val="none" w:sz="0" w:space="0" w:color="auto"/>
        <w:right w:val="none" w:sz="0" w:space="0" w:color="auto"/>
      </w:divBdr>
    </w:div>
    <w:div w:id="515850600">
      <w:bodyDiv w:val="1"/>
      <w:marLeft w:val="0"/>
      <w:marRight w:val="0"/>
      <w:marTop w:val="0"/>
      <w:marBottom w:val="0"/>
      <w:divBdr>
        <w:top w:val="none" w:sz="0" w:space="0" w:color="auto"/>
        <w:left w:val="none" w:sz="0" w:space="0" w:color="auto"/>
        <w:bottom w:val="none" w:sz="0" w:space="0" w:color="auto"/>
        <w:right w:val="none" w:sz="0" w:space="0" w:color="auto"/>
      </w:divBdr>
    </w:div>
    <w:div w:id="515968332">
      <w:bodyDiv w:val="1"/>
      <w:marLeft w:val="0"/>
      <w:marRight w:val="0"/>
      <w:marTop w:val="0"/>
      <w:marBottom w:val="0"/>
      <w:divBdr>
        <w:top w:val="none" w:sz="0" w:space="0" w:color="auto"/>
        <w:left w:val="none" w:sz="0" w:space="0" w:color="auto"/>
        <w:bottom w:val="none" w:sz="0" w:space="0" w:color="auto"/>
        <w:right w:val="none" w:sz="0" w:space="0" w:color="auto"/>
      </w:divBdr>
    </w:div>
    <w:div w:id="571814159">
      <w:bodyDiv w:val="1"/>
      <w:marLeft w:val="0"/>
      <w:marRight w:val="0"/>
      <w:marTop w:val="0"/>
      <w:marBottom w:val="0"/>
      <w:divBdr>
        <w:top w:val="none" w:sz="0" w:space="0" w:color="auto"/>
        <w:left w:val="none" w:sz="0" w:space="0" w:color="auto"/>
        <w:bottom w:val="none" w:sz="0" w:space="0" w:color="auto"/>
        <w:right w:val="none" w:sz="0" w:space="0" w:color="auto"/>
      </w:divBdr>
    </w:div>
    <w:div w:id="655651935">
      <w:bodyDiv w:val="1"/>
      <w:marLeft w:val="0"/>
      <w:marRight w:val="0"/>
      <w:marTop w:val="0"/>
      <w:marBottom w:val="0"/>
      <w:divBdr>
        <w:top w:val="none" w:sz="0" w:space="0" w:color="auto"/>
        <w:left w:val="none" w:sz="0" w:space="0" w:color="auto"/>
        <w:bottom w:val="none" w:sz="0" w:space="0" w:color="auto"/>
        <w:right w:val="none" w:sz="0" w:space="0" w:color="auto"/>
      </w:divBdr>
    </w:div>
    <w:div w:id="680088235">
      <w:bodyDiv w:val="1"/>
      <w:marLeft w:val="0"/>
      <w:marRight w:val="0"/>
      <w:marTop w:val="0"/>
      <w:marBottom w:val="0"/>
      <w:divBdr>
        <w:top w:val="none" w:sz="0" w:space="0" w:color="auto"/>
        <w:left w:val="none" w:sz="0" w:space="0" w:color="auto"/>
        <w:bottom w:val="none" w:sz="0" w:space="0" w:color="auto"/>
        <w:right w:val="none" w:sz="0" w:space="0" w:color="auto"/>
      </w:divBdr>
    </w:div>
    <w:div w:id="862859971">
      <w:bodyDiv w:val="1"/>
      <w:marLeft w:val="0"/>
      <w:marRight w:val="0"/>
      <w:marTop w:val="0"/>
      <w:marBottom w:val="0"/>
      <w:divBdr>
        <w:top w:val="none" w:sz="0" w:space="0" w:color="auto"/>
        <w:left w:val="none" w:sz="0" w:space="0" w:color="auto"/>
        <w:bottom w:val="none" w:sz="0" w:space="0" w:color="auto"/>
        <w:right w:val="none" w:sz="0" w:space="0" w:color="auto"/>
      </w:divBdr>
    </w:div>
    <w:div w:id="931744028">
      <w:bodyDiv w:val="1"/>
      <w:marLeft w:val="0"/>
      <w:marRight w:val="0"/>
      <w:marTop w:val="0"/>
      <w:marBottom w:val="0"/>
      <w:divBdr>
        <w:top w:val="none" w:sz="0" w:space="0" w:color="auto"/>
        <w:left w:val="none" w:sz="0" w:space="0" w:color="auto"/>
        <w:bottom w:val="none" w:sz="0" w:space="0" w:color="auto"/>
        <w:right w:val="none" w:sz="0" w:space="0" w:color="auto"/>
      </w:divBdr>
    </w:div>
    <w:div w:id="1040669041">
      <w:bodyDiv w:val="1"/>
      <w:marLeft w:val="0"/>
      <w:marRight w:val="0"/>
      <w:marTop w:val="0"/>
      <w:marBottom w:val="0"/>
      <w:divBdr>
        <w:top w:val="none" w:sz="0" w:space="0" w:color="auto"/>
        <w:left w:val="none" w:sz="0" w:space="0" w:color="auto"/>
        <w:bottom w:val="none" w:sz="0" w:space="0" w:color="auto"/>
        <w:right w:val="none" w:sz="0" w:space="0" w:color="auto"/>
      </w:divBdr>
    </w:div>
    <w:div w:id="1168909595">
      <w:bodyDiv w:val="1"/>
      <w:marLeft w:val="0"/>
      <w:marRight w:val="0"/>
      <w:marTop w:val="0"/>
      <w:marBottom w:val="0"/>
      <w:divBdr>
        <w:top w:val="none" w:sz="0" w:space="0" w:color="auto"/>
        <w:left w:val="none" w:sz="0" w:space="0" w:color="auto"/>
        <w:bottom w:val="none" w:sz="0" w:space="0" w:color="auto"/>
        <w:right w:val="none" w:sz="0" w:space="0" w:color="auto"/>
      </w:divBdr>
    </w:div>
    <w:div w:id="1253781488">
      <w:bodyDiv w:val="1"/>
      <w:marLeft w:val="0"/>
      <w:marRight w:val="0"/>
      <w:marTop w:val="0"/>
      <w:marBottom w:val="0"/>
      <w:divBdr>
        <w:top w:val="none" w:sz="0" w:space="0" w:color="auto"/>
        <w:left w:val="none" w:sz="0" w:space="0" w:color="auto"/>
        <w:bottom w:val="none" w:sz="0" w:space="0" w:color="auto"/>
        <w:right w:val="none" w:sz="0" w:space="0" w:color="auto"/>
      </w:divBdr>
    </w:div>
    <w:div w:id="1331064662">
      <w:bodyDiv w:val="1"/>
      <w:marLeft w:val="0"/>
      <w:marRight w:val="0"/>
      <w:marTop w:val="0"/>
      <w:marBottom w:val="0"/>
      <w:divBdr>
        <w:top w:val="none" w:sz="0" w:space="0" w:color="auto"/>
        <w:left w:val="none" w:sz="0" w:space="0" w:color="auto"/>
        <w:bottom w:val="none" w:sz="0" w:space="0" w:color="auto"/>
        <w:right w:val="none" w:sz="0" w:space="0" w:color="auto"/>
      </w:divBdr>
    </w:div>
    <w:div w:id="1339044692">
      <w:bodyDiv w:val="1"/>
      <w:marLeft w:val="0"/>
      <w:marRight w:val="0"/>
      <w:marTop w:val="0"/>
      <w:marBottom w:val="0"/>
      <w:divBdr>
        <w:top w:val="none" w:sz="0" w:space="0" w:color="auto"/>
        <w:left w:val="none" w:sz="0" w:space="0" w:color="auto"/>
        <w:bottom w:val="none" w:sz="0" w:space="0" w:color="auto"/>
        <w:right w:val="none" w:sz="0" w:space="0" w:color="auto"/>
      </w:divBdr>
    </w:div>
    <w:div w:id="1377194547">
      <w:bodyDiv w:val="1"/>
      <w:marLeft w:val="0"/>
      <w:marRight w:val="0"/>
      <w:marTop w:val="0"/>
      <w:marBottom w:val="0"/>
      <w:divBdr>
        <w:top w:val="none" w:sz="0" w:space="0" w:color="auto"/>
        <w:left w:val="none" w:sz="0" w:space="0" w:color="auto"/>
        <w:bottom w:val="none" w:sz="0" w:space="0" w:color="auto"/>
        <w:right w:val="none" w:sz="0" w:space="0" w:color="auto"/>
      </w:divBdr>
    </w:div>
    <w:div w:id="1468282152">
      <w:bodyDiv w:val="1"/>
      <w:marLeft w:val="0"/>
      <w:marRight w:val="0"/>
      <w:marTop w:val="0"/>
      <w:marBottom w:val="0"/>
      <w:divBdr>
        <w:top w:val="none" w:sz="0" w:space="0" w:color="auto"/>
        <w:left w:val="none" w:sz="0" w:space="0" w:color="auto"/>
        <w:bottom w:val="none" w:sz="0" w:space="0" w:color="auto"/>
        <w:right w:val="none" w:sz="0" w:space="0" w:color="auto"/>
      </w:divBdr>
    </w:div>
    <w:div w:id="1510174561">
      <w:bodyDiv w:val="1"/>
      <w:marLeft w:val="0"/>
      <w:marRight w:val="0"/>
      <w:marTop w:val="0"/>
      <w:marBottom w:val="0"/>
      <w:divBdr>
        <w:top w:val="none" w:sz="0" w:space="0" w:color="auto"/>
        <w:left w:val="none" w:sz="0" w:space="0" w:color="auto"/>
        <w:bottom w:val="none" w:sz="0" w:space="0" w:color="auto"/>
        <w:right w:val="none" w:sz="0" w:space="0" w:color="auto"/>
      </w:divBdr>
    </w:div>
    <w:div w:id="1667324376">
      <w:bodyDiv w:val="1"/>
      <w:marLeft w:val="0"/>
      <w:marRight w:val="0"/>
      <w:marTop w:val="0"/>
      <w:marBottom w:val="0"/>
      <w:divBdr>
        <w:top w:val="none" w:sz="0" w:space="0" w:color="auto"/>
        <w:left w:val="none" w:sz="0" w:space="0" w:color="auto"/>
        <w:bottom w:val="none" w:sz="0" w:space="0" w:color="auto"/>
        <w:right w:val="none" w:sz="0" w:space="0" w:color="auto"/>
      </w:divBdr>
    </w:div>
    <w:div w:id="21304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stark\departments\ine.db\&#924;&#917;&#923;&#917;&#932;&#917;&#931;_&#917;&#929;&#917;&#933;&#925;&#917;&#931;\&#917;&#928;&#927;&#935;&#921;&#922;&#917;&#931;%20&#917;&#929;&#917;&#933;&#925;&#917;&#931;_2\&#917;&#922;&#928;&#932;&#937;&#931;&#917;&#921;&#931;\&#935;&#917;&#921;&#924;&#917;&#929;&#921;&#925;&#917;&#931;\&#935;&#917;&#921;&#924;&#917;&#929;&#921;&#925;&#917;&#931;%20&#917;&#922;&#928;&#932;&#937;&#931;&#917;&#921;&#931;%202016\DATA%20ANALYSIS\Data%20Entry%20-%20&#916;&#953;&#945;&#947;&#961;&#940;&#956;&#956;&#945;&#964;&#945;%20-%2024%20&#934;&#949;&#946;&#961;&#959;&#965;&#945;&#961;&#943;&#959;&#965;\DATA%20ENTRY_&#917;&#929;&#917;&#933;&#925;&#913;%20&#935;&#917;&#921;&#924;&#917;&#929;&#921;&#925;&#937;&#925;%20&#917;&#922;&#928;&#932;&#937;&#931;&#917;&#937;&#925;%20_&#917;&#929;&#937;&#932;&#919;&#931;&#917;&#921;&#931;%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tark\departments\ine.db\&#924;&#917;&#923;&#917;&#932;&#917;&#931;_&#917;&#929;&#917;&#933;&#925;&#917;&#931;\&#917;&#928;&#927;&#935;&#921;&#922;&#917;&#931;%20&#917;&#929;&#917;&#933;&#925;&#917;&#931;_2\&#917;&#922;&#928;&#932;&#937;&#931;&#917;&#921;&#931;\&#935;&#917;&#921;&#924;&#917;&#929;&#921;&#925;&#917;&#931;\&#935;&#917;&#921;&#924;&#917;&#929;&#921;&#925;&#917;&#931;%20&#917;&#922;&#928;&#932;&#937;&#931;&#917;&#921;&#931;%202016\DATA%20ANALYSIS\Data%20Entry%20-%20&#916;&#953;&#945;&#947;&#961;&#940;&#956;&#956;&#945;&#964;&#945;%20-%2024%20&#934;&#949;&#946;&#961;&#959;&#965;&#945;&#961;&#943;&#959;&#965;\DATA%20ENTRY_&#917;&#929;&#917;&#933;&#925;&#913;%20&#935;&#917;&#921;&#924;&#917;&#929;&#921;&#925;&#937;&#925;%20&#917;&#922;&#928;&#932;&#937;&#931;&#917;&#937;&#925;%20_&#917;&#929;&#937;&#932;&#919;&#931;&#917;&#921;&#931;%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tark\departments\ine.db\&#924;&#917;&#923;&#917;&#932;&#917;&#931;_&#917;&#929;&#917;&#933;&#925;&#917;&#931;\&#917;&#928;&#927;&#935;&#921;&#922;&#917;&#931;%20&#917;&#929;&#917;&#933;&#925;&#917;&#931;_2\&#917;&#922;&#928;&#932;&#937;&#931;&#917;&#921;&#931;\&#935;&#917;&#921;&#924;&#917;&#929;&#921;&#925;&#917;&#931;\&#935;&#917;&#921;&#924;&#917;&#929;&#921;&#925;&#917;&#931;%20&#917;&#922;&#928;&#932;&#937;&#931;&#917;&#921;&#931;%202016\DATA%20ANALYSIS\Data%20Entry%20-%20&#916;&#953;&#945;&#947;&#961;&#940;&#956;&#956;&#945;&#964;&#945;%20-%2024%20&#934;&#949;&#946;&#961;&#959;&#965;&#945;&#961;&#943;&#959;&#965;\DATA%20ENTRY_&#917;&#929;&#917;&#933;&#925;&#913;%20&#935;&#917;&#921;&#924;&#917;&#929;&#921;&#925;&#937;&#925;%20&#917;&#922;&#928;&#932;&#937;&#931;&#917;&#937;&#925;%20_&#917;&#929;&#937;&#932;&#919;&#931;&#917;&#921;&#931;%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tark\departments\ine.db\&#924;&#917;&#923;&#917;&#932;&#917;&#931;_&#917;&#929;&#917;&#933;&#925;&#917;&#931;\&#917;&#928;&#927;&#935;&#921;&#922;&#917;&#931;%20&#917;&#929;&#917;&#933;&#925;&#917;&#931;_2\&#917;&#922;&#928;&#932;&#937;&#931;&#917;&#921;&#931;\&#935;&#917;&#921;&#924;&#917;&#929;&#921;&#925;&#917;&#931;\&#935;&#917;&#921;&#924;&#917;&#929;&#921;&#925;&#917;&#931;%20&#917;&#922;&#928;&#932;&#937;&#931;&#917;&#921;&#931;%202016\DATA%20ANALYSIS\Data%20Entry%20-%20&#916;&#953;&#945;&#947;&#961;&#940;&#956;&#956;&#945;&#964;&#945;%20-%2024%20&#934;&#949;&#946;&#961;&#959;&#965;&#945;&#961;&#943;&#959;&#965;\DATA%20ENTRY_&#917;&#929;&#917;&#933;&#925;&#913;%20&#935;&#917;&#921;&#924;&#917;&#929;&#921;&#925;&#937;&#925;%20&#917;&#922;&#928;&#932;&#937;&#931;&#917;&#937;&#925;%20_&#917;&#929;&#937;&#932;&#919;&#931;&#917;&#921;&#931;%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tark\departments\ine.db\&#924;&#917;&#923;&#917;&#932;&#917;&#931;_&#917;&#929;&#917;&#933;&#925;&#917;&#931;\&#917;&#928;&#927;&#935;&#921;&#922;&#917;&#931;%20&#917;&#929;&#917;&#933;&#925;&#917;&#931;_2\&#917;&#922;&#928;&#932;&#937;&#931;&#917;&#921;&#931;\&#935;&#917;&#921;&#924;&#917;&#929;&#921;&#925;&#917;&#931;\&#935;&#917;&#921;&#924;&#917;&#929;&#921;&#925;&#917;&#931;%20&#917;&#922;&#928;&#932;&#937;&#931;&#917;&#921;&#931;%202016\DATA%20ANALYSIS\Data%20Entry%20-%20&#916;&#953;&#945;&#947;&#961;&#940;&#956;&#956;&#945;&#964;&#945;%20-%2024%20&#934;&#949;&#946;&#961;&#959;&#965;&#945;&#961;&#943;&#959;&#965;\DATA%20ENTRY_&#917;&#929;&#917;&#933;&#925;&#913;%20&#935;&#917;&#921;&#924;&#917;&#929;&#921;&#925;&#937;&#925;%20&#917;&#922;&#928;&#932;&#937;&#931;&#917;&#937;&#925;%20_&#917;&#929;&#937;&#932;&#919;&#931;&#917;&#921;&#931;%206-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tark\departments\ine.db\&#924;&#917;&#923;&#917;&#932;&#917;&#931;_&#917;&#929;&#917;&#933;&#925;&#917;&#931;\&#917;&#928;&#927;&#935;&#921;&#922;&#917;&#931;%20&#917;&#929;&#917;&#933;&#925;&#917;&#931;_2\&#917;&#922;&#928;&#932;&#937;&#931;&#917;&#921;&#931;\&#935;&#917;&#921;&#924;&#917;&#929;&#921;&#925;&#917;&#931;\&#935;&#917;&#921;&#924;&#917;&#929;&#921;&#925;&#917;&#931;%20&#917;&#922;&#928;&#932;&#937;&#931;&#917;&#921;&#931;%202016\DATA%20ANALYSIS\Data%20Entry%20-%20&#916;&#953;&#945;&#947;&#961;&#940;&#956;&#956;&#945;&#964;&#945;%20-%2024%20&#934;&#949;&#946;&#961;&#959;&#965;&#945;&#961;&#943;&#959;&#965;\DATA%20ENTRY_&#917;&#929;&#917;&#933;&#925;&#913;%20&#935;&#917;&#921;&#924;&#917;&#929;&#921;&#925;&#937;&#925;%20&#917;&#922;&#928;&#932;&#937;&#931;&#917;&#937;&#925;%20_&#917;&#929;&#937;&#932;&#919;&#931;&#917;&#921;&#931;%206-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tark\departments\ine.db\&#924;&#917;&#923;&#917;&#932;&#917;&#931;_&#917;&#929;&#917;&#933;&#925;&#917;&#931;\&#917;&#928;&#927;&#935;&#921;&#922;&#917;&#931;%20&#917;&#929;&#917;&#933;&#925;&#917;&#931;_2\&#917;&#922;&#928;&#932;&#937;&#931;&#917;&#921;&#931;\&#935;&#917;&#921;&#924;&#917;&#929;&#921;&#925;&#917;&#931;\&#935;&#917;&#921;&#924;&#917;&#929;&#921;&#925;&#917;&#931;%20&#917;&#922;&#928;&#932;&#937;&#931;&#917;&#921;&#931;%202016\DATA%20ANALYSIS\Data%20Entry%20-%20&#916;&#953;&#945;&#947;&#961;&#940;&#956;&#956;&#945;&#964;&#945;%20-%2024%20&#934;&#949;&#946;&#961;&#959;&#965;&#945;&#961;&#943;&#959;&#965;\DATA%20ENTRY_&#917;&#929;&#917;&#933;&#925;&#913;%20&#935;&#917;&#921;&#924;&#917;&#929;&#921;&#925;&#937;&#925;%20&#917;&#922;&#928;&#932;&#937;&#931;&#917;&#937;&#925;%20_&#917;&#929;&#937;&#932;&#919;&#931;&#917;&#921;&#931;%206-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tark\departments\ine.db\&#924;&#917;&#923;&#917;&#932;&#917;&#931;_&#917;&#929;&#917;&#933;&#925;&#917;&#931;\&#917;&#928;&#927;&#935;&#921;&#922;&#917;&#931;%20&#917;&#929;&#917;&#933;&#925;&#917;&#931;_2\&#917;&#922;&#928;&#932;&#937;&#931;&#917;&#921;&#931;\&#935;&#917;&#921;&#924;&#917;&#929;&#921;&#925;&#917;&#931;\&#935;&#917;&#921;&#924;&#917;&#929;&#921;&#925;&#917;&#931;%20&#917;&#922;&#928;&#932;&#937;&#931;&#917;&#921;&#931;%202016\DATA%20ANALYSIS\Data%20Entry%20-%20&#916;&#953;&#945;&#947;&#961;&#940;&#956;&#956;&#945;&#964;&#945;%20-%2024%20&#934;&#949;&#946;&#961;&#959;&#965;&#945;&#961;&#943;&#959;&#965;\DATA%20ENTRY_&#917;&#929;&#917;&#933;&#925;&#913;%20&#935;&#917;&#921;&#924;&#917;&#929;&#921;&#925;&#937;&#925;%20&#917;&#922;&#928;&#932;&#937;&#931;&#917;&#937;&#925;%20_&#917;&#929;&#937;&#932;&#919;&#931;&#917;&#921;&#931;%206-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arachovas\AppData\Local\Microsoft\Windows\Temporary%20Internet%20Files\Low\Content.IE5\PJ4QZHGX\A0515_DKT87_TS_MM_01_1959_01_2016_05_F_GR%5b1%5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lgn="ctr">
              <a:defRPr lang="el-GR" sz="1200" b="1" i="0" u="none" strike="noStrike" baseline="0">
                <a:solidFill>
                  <a:srgbClr val="000000"/>
                </a:solidFill>
                <a:latin typeface="Arial"/>
                <a:ea typeface="Arial"/>
                <a:cs typeface="Arial"/>
              </a:defRPr>
            </a:pPr>
            <a:r>
              <a:rPr lang="el-GR"/>
              <a:t>Ποσοστό</a:t>
            </a:r>
            <a:r>
              <a:rPr lang="el-GR" baseline="0"/>
              <a:t> έκπτωσης στην επιχείρηση κατά τη διάρκεια των χειμερινών εκπτώσεων 2016</a:t>
            </a:r>
            <a:endParaRPr lang="el-GR"/>
          </a:p>
        </c:rich>
      </c:tx>
      <c:layout>
        <c:manualLayout>
          <c:xMode val="edge"/>
          <c:yMode val="edge"/>
          <c:x val="0.13859522912954939"/>
          <c:y val="4.0123829384011704E-2"/>
        </c:manualLayout>
      </c:layout>
      <c:spPr>
        <a:noFill/>
        <a:ln w="25400">
          <a:noFill/>
        </a:ln>
      </c:spPr>
    </c:title>
    <c:view3D>
      <c:perspective val="0"/>
    </c:view3D>
    <c:plotArea>
      <c:layout>
        <c:manualLayout>
          <c:layoutTarget val="inner"/>
          <c:xMode val="edge"/>
          <c:yMode val="edge"/>
          <c:x val="0.1590909090909105"/>
          <c:y val="0.38889006103534557"/>
          <c:w val="0.50524475524475521"/>
          <c:h val="0.35493934142114375"/>
        </c:manualLayout>
      </c:layout>
      <c:pie3DChart>
        <c:varyColors val="1"/>
        <c:ser>
          <c:idx val="0"/>
          <c:order val="0"/>
          <c:spPr>
            <a:solidFill>
              <a:srgbClr val="9999FF"/>
            </a:solidFill>
            <a:ln w="12700">
              <a:solidFill>
                <a:srgbClr val="000000"/>
              </a:solidFill>
              <a:prstDash val="solid"/>
            </a:ln>
          </c:spPr>
          <c:explosion val="25"/>
          <c:dPt>
            <c:idx val="0"/>
            <c:spPr>
              <a:solidFill>
                <a:srgbClr val="3366FF"/>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FF6600"/>
              </a:solidFill>
              <a:ln w="12700">
                <a:solidFill>
                  <a:srgbClr val="000000"/>
                </a:solidFill>
                <a:prstDash val="solid"/>
              </a:ln>
            </c:spPr>
          </c:dPt>
          <c:dPt>
            <c:idx val="3"/>
            <c:spPr>
              <a:solidFill>
                <a:srgbClr val="FFFF00"/>
              </a:solidFill>
              <a:ln w="12700">
                <a:solidFill>
                  <a:srgbClr val="000000"/>
                </a:solidFill>
                <a:prstDash val="solid"/>
              </a:ln>
            </c:spPr>
          </c:dPt>
          <c:dPt>
            <c:idx val="4"/>
            <c:spPr>
              <a:solidFill>
                <a:srgbClr val="660066"/>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dLbls>
          <c:cat>
            <c:strRef>
              <c:f>'Χειμερινές εκπτώσεις'!$A$3:$A$7</c:f>
              <c:strCache>
                <c:ptCount val="5"/>
                <c:pt idx="0">
                  <c:v>0-10%</c:v>
                </c:pt>
                <c:pt idx="1">
                  <c:v>11%-20%</c:v>
                </c:pt>
                <c:pt idx="2">
                  <c:v>21-40%</c:v>
                </c:pt>
                <c:pt idx="3">
                  <c:v>41%-50%</c:v>
                </c:pt>
                <c:pt idx="4">
                  <c:v>50% και άνω </c:v>
                </c:pt>
              </c:strCache>
            </c:strRef>
          </c:cat>
          <c:val>
            <c:numRef>
              <c:f>'Χειμερινές εκπτώσεις'!$C$3:$C$7</c:f>
              <c:numCache>
                <c:formatCode>0.0%</c:formatCode>
                <c:ptCount val="5"/>
                <c:pt idx="0">
                  <c:v>0.17171717171717224</c:v>
                </c:pt>
                <c:pt idx="1">
                  <c:v>0.14141414141414194</c:v>
                </c:pt>
                <c:pt idx="2">
                  <c:v>0.41414141414141414</c:v>
                </c:pt>
                <c:pt idx="3">
                  <c:v>0.21212121212121221</c:v>
                </c:pt>
                <c:pt idx="4">
                  <c:v>6.0606060606060663E-2</c:v>
                </c:pt>
              </c:numCache>
            </c:numRef>
          </c:val>
        </c:ser>
        <c:dLbls>
          <c:showPercent val="1"/>
        </c:dLbls>
      </c:pie3DChart>
      <c:spPr>
        <a:noFill/>
        <a:ln w="25400">
          <a:noFill/>
        </a:ln>
      </c:spPr>
    </c:plotArea>
    <c:legend>
      <c:legendPos val="r"/>
      <c:layout>
        <c:manualLayout>
          <c:xMode val="edge"/>
          <c:yMode val="edge"/>
          <c:x val="0.75874125874125875"/>
          <c:y val="0.27160591037231457"/>
          <c:w val="0.18006993006993208"/>
          <c:h val="0.45061858008489963"/>
        </c:manualLayout>
      </c:layout>
      <c:spPr>
        <a:solidFill>
          <a:srgbClr val="FFFFFF"/>
        </a:solidFill>
        <a:ln w="3175">
          <a:solidFill>
            <a:srgbClr val="000000"/>
          </a:solidFill>
          <a:prstDash val="solid"/>
        </a:ln>
      </c:spPr>
      <c:txPr>
        <a:bodyPr/>
        <a:lstStyle/>
        <a:p>
          <a:pPr>
            <a:defRPr lang="el-GR" sz="920" b="1"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Οι πωλήσεις στις χειμερινές εκπτώσεις του 2016 συγκριτικά με το 201</a:t>
            </a:r>
            <a:r>
              <a:rPr lang="en-US"/>
              <a:t>5</a:t>
            </a:r>
            <a:endParaRPr lang="el-GR"/>
          </a:p>
        </c:rich>
      </c:tx>
      <c:layout>
        <c:manualLayout>
          <c:xMode val="edge"/>
          <c:yMode val="edge"/>
          <c:x val="9.5514453310785868E-2"/>
          <c:y val="3.0221175624075419E-2"/>
        </c:manualLayout>
      </c:layout>
      <c:spPr>
        <a:noFill/>
        <a:ln w="25400">
          <a:noFill/>
        </a:ln>
      </c:spPr>
    </c:title>
    <c:view3D>
      <c:perspective val="0"/>
    </c:view3D>
    <c:plotArea>
      <c:layout>
        <c:manualLayout>
          <c:layoutTarget val="inner"/>
          <c:xMode val="edge"/>
          <c:yMode val="edge"/>
          <c:x val="0.1174496644295302"/>
          <c:y val="0.27725941047085056"/>
          <c:w val="0.62080536912751683"/>
          <c:h val="0.45794531841814629"/>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dLbls>
          <c:cat>
            <c:strRef>
              <c:f>'Χειμερινές εκπτώσεις'!$A$18:$A$20</c:f>
              <c:strCache>
                <c:ptCount val="3"/>
                <c:pt idx="0">
                  <c:v>Καλύτερα από το 2015</c:v>
                </c:pt>
                <c:pt idx="1">
                  <c:v>Χειρότερα από το 2015</c:v>
                </c:pt>
                <c:pt idx="2">
                  <c:v>Στα ίδια επίπεδα</c:v>
                </c:pt>
              </c:strCache>
            </c:strRef>
          </c:cat>
          <c:val>
            <c:numRef>
              <c:f>'Χειμερινές εκπτώσεις'!$D$18:$D$20</c:f>
              <c:numCache>
                <c:formatCode>0.0%</c:formatCode>
                <c:ptCount val="3"/>
                <c:pt idx="0">
                  <c:v>2.0000000000000011E-2</c:v>
                </c:pt>
                <c:pt idx="1">
                  <c:v>0.77000000000000146</c:v>
                </c:pt>
                <c:pt idx="2">
                  <c:v>0.21000000000000021</c:v>
                </c:pt>
              </c:numCache>
            </c:numRef>
          </c:val>
        </c:ser>
        <c:dLbls>
          <c:showPercent val="1"/>
        </c:dLbls>
      </c:pie3DChart>
      <c:spPr>
        <a:noFill/>
        <a:ln w="25400">
          <a:noFill/>
        </a:ln>
      </c:spPr>
    </c:plotArea>
    <c:legend>
      <c:legendPos val="r"/>
      <c:layout>
        <c:manualLayout>
          <c:xMode val="edge"/>
          <c:yMode val="edge"/>
          <c:x val="0.72986577181208068"/>
          <c:y val="0.46562497444828782"/>
          <c:w val="0.25671140939597281"/>
          <c:h val="0.20000000000000023"/>
        </c:manualLayout>
      </c:layout>
      <c:spPr>
        <a:solidFill>
          <a:srgbClr val="FFFFFF"/>
        </a:solidFill>
        <a:ln w="3175">
          <a:solidFill>
            <a:srgbClr val="000000"/>
          </a:solidFill>
          <a:prstDash val="solid"/>
        </a:ln>
      </c:spPr>
      <c:txPr>
        <a:bodyPr/>
        <a:lstStyle/>
        <a:p>
          <a:pPr>
            <a:defRPr lang="el-GR" sz="920" b="0"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Ποσοστό μείωσης των</a:t>
            </a:r>
            <a:r>
              <a:rPr lang="el-GR" baseline="0"/>
              <a:t> πωλήσεων (σύγκριση με το προηγούμενο έτος)</a:t>
            </a:r>
            <a:endParaRPr lang="el-GR"/>
          </a:p>
        </c:rich>
      </c:tx>
      <c:layout>
        <c:manualLayout>
          <c:xMode val="edge"/>
          <c:yMode val="edge"/>
          <c:x val="0.19887972826926037"/>
          <c:y val="7.4242115084451638E-2"/>
        </c:manualLayout>
      </c:layout>
      <c:spPr>
        <a:noFill/>
        <a:ln w="25400">
          <a:noFill/>
        </a:ln>
      </c:spPr>
    </c:title>
    <c:view3D>
      <c:perspective val="0"/>
    </c:view3D>
    <c:plotArea>
      <c:layout>
        <c:manualLayout>
          <c:layoutTarget val="inner"/>
          <c:xMode val="edge"/>
          <c:yMode val="edge"/>
          <c:x val="0.11764715536957999"/>
          <c:y val="0.37812500000000032"/>
          <c:w val="0.50756344173731638"/>
          <c:h val="0.37500000000000278"/>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numFmt formatCode="0%" sourceLinked="0"/>
            <c:spPr>
              <a:noFill/>
              <a:ln w="25400">
                <a:noFill/>
              </a:ln>
            </c:spPr>
            <c:txPr>
              <a:bodyPr/>
              <a:lstStyle/>
              <a:p>
                <a:pPr>
                  <a:defRPr lang="el-GR" sz="900" b="0" i="0" u="none" strike="noStrike" baseline="0">
                    <a:solidFill>
                      <a:srgbClr val="000000"/>
                    </a:solidFill>
                    <a:latin typeface="Arial"/>
                    <a:ea typeface="Arial"/>
                    <a:cs typeface="Arial"/>
                  </a:defRPr>
                </a:pPr>
                <a:endParaRPr lang="el-GR"/>
              </a:p>
            </c:txPr>
            <c:showPercent val="1"/>
            <c:showLeaderLines val="1"/>
          </c:dLbls>
          <c:cat>
            <c:strRef>
              <c:f>'Χειμερινές εκπτώσεις'!$A$50:$A$54</c:f>
              <c:strCache>
                <c:ptCount val="5"/>
                <c:pt idx="0">
                  <c:v>0 – 10%</c:v>
                </c:pt>
                <c:pt idx="1">
                  <c:v>11% - 20% </c:v>
                </c:pt>
                <c:pt idx="2">
                  <c:v>21% - 30%</c:v>
                </c:pt>
                <c:pt idx="3">
                  <c:v>31%- 40%</c:v>
                </c:pt>
                <c:pt idx="4">
                  <c:v>μεγαλύτερη από 41% </c:v>
                </c:pt>
              </c:strCache>
            </c:strRef>
          </c:cat>
          <c:val>
            <c:numRef>
              <c:f>'Χειμερινές εκπτώσεις'!$D$50:$D$54</c:f>
              <c:numCache>
                <c:formatCode>0.0%</c:formatCode>
                <c:ptCount val="5"/>
                <c:pt idx="0">
                  <c:v>0.1756756756756753</c:v>
                </c:pt>
                <c:pt idx="1">
                  <c:v>0.21621621621621659</c:v>
                </c:pt>
                <c:pt idx="2">
                  <c:v>0.1756756756756753</c:v>
                </c:pt>
                <c:pt idx="3">
                  <c:v>0.1351351351351355</c:v>
                </c:pt>
                <c:pt idx="4">
                  <c:v>0.29729729729729731</c:v>
                </c:pt>
              </c:numCache>
            </c:numRef>
          </c:val>
        </c:ser>
        <c:dLbls>
          <c:showPercent val="1"/>
        </c:dLbls>
      </c:pie3DChart>
      <c:spPr>
        <a:noFill/>
        <a:ln w="25400">
          <a:noFill/>
        </a:ln>
      </c:spPr>
    </c:plotArea>
    <c:legend>
      <c:legendPos val="r"/>
      <c:layout>
        <c:manualLayout>
          <c:xMode val="edge"/>
          <c:yMode val="edge"/>
          <c:x val="0.73613498312710912"/>
          <c:y val="0.4"/>
          <c:w val="0.2504203445157589"/>
          <c:h val="0.33125000000000032"/>
        </c:manualLayout>
      </c:layout>
      <c:spPr>
        <a:solidFill>
          <a:srgbClr val="FFFFFF"/>
        </a:solidFill>
        <a:ln w="3175">
          <a:solidFill>
            <a:srgbClr val="000000"/>
          </a:solidFill>
          <a:prstDash val="solid"/>
        </a:ln>
      </c:spPr>
      <c:txPr>
        <a:bodyPr/>
        <a:lstStyle/>
        <a:p>
          <a:pPr>
            <a:defRPr lang="el-GR" sz="920" b="0" i="0" u="none" strike="noStrike" baseline="0">
              <a:solidFill>
                <a:srgbClr val="000000"/>
              </a:solidFill>
              <a:latin typeface="Arial"/>
              <a:ea typeface="Arial"/>
              <a:cs typeface="Arial"/>
            </a:defRPr>
          </a:pPr>
          <a:endParaRPr lang="el-GR"/>
        </a:p>
      </c:txPr>
    </c:legend>
    <c:plotVisOnly val="1"/>
    <c:dispBlanksAs val="zero"/>
  </c:chart>
  <c:spPr>
    <a:solidFill>
      <a:srgbClr val="969696"/>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l-G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Οι καλύτερες περίοδοι των εκπτώσεων από άποψη αγοραστικής κίνησης</a:t>
            </a:r>
          </a:p>
        </c:rich>
      </c:tx>
      <c:layout>
        <c:manualLayout>
          <c:xMode val="edge"/>
          <c:yMode val="edge"/>
          <c:x val="0.14469911640191896"/>
          <c:y val="3.4384031567160196E-2"/>
        </c:manualLayout>
      </c:layout>
      <c:spPr>
        <a:noFill/>
        <a:ln w="25400">
          <a:noFill/>
        </a:ln>
      </c:spPr>
    </c:title>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829500872428054E-2"/>
          <c:y val="0.12189616252821789"/>
          <c:w val="0.90205510412825851"/>
          <c:h val="0.78103837471782833"/>
        </c:manualLayout>
      </c:layout>
      <c:bar3DChart>
        <c:barDir val="col"/>
        <c:grouping val="clustered"/>
        <c:varyColors val="1"/>
        <c:ser>
          <c:idx val="0"/>
          <c:order val="0"/>
          <c:spPr>
            <a:solidFill>
              <a:srgbClr val="9999FF"/>
            </a:solidFill>
            <a:ln w="12700">
              <a:solidFill>
                <a:srgbClr val="000000"/>
              </a:solidFill>
              <a:prstDash val="solid"/>
            </a:ln>
          </c:spPr>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3366FF"/>
              </a:solidFill>
              <a:ln w="12700">
                <a:solidFill>
                  <a:srgbClr val="000000"/>
                </a:solidFill>
                <a:prstDash val="solid"/>
              </a:ln>
            </c:spPr>
          </c:dPt>
          <c:dLbls>
            <c:spPr>
              <a:noFill/>
              <a:ln w="25400">
                <a:noFill/>
              </a:ln>
            </c:spPr>
            <c:txPr>
              <a:bodyPr/>
              <a:lstStyle/>
              <a:p>
                <a:pPr>
                  <a:defRPr lang="el-GR" sz="1200" b="1" i="0" u="none" strike="noStrike" baseline="0">
                    <a:solidFill>
                      <a:srgbClr val="000000"/>
                    </a:solidFill>
                    <a:latin typeface="Arial"/>
                    <a:ea typeface="Arial"/>
                    <a:cs typeface="Arial"/>
                  </a:defRPr>
                </a:pPr>
                <a:endParaRPr lang="el-GR"/>
              </a:p>
            </c:txPr>
            <c:showVal val="1"/>
          </c:dLbls>
          <c:cat>
            <c:strRef>
              <c:f>'Χειμερινές εκπτώσεις'!$A$77:$A$79</c:f>
              <c:strCache>
                <c:ptCount val="3"/>
                <c:pt idx="0">
                  <c:v>15/1 έως 31/1</c:v>
                </c:pt>
                <c:pt idx="1">
                  <c:v>1/2 έως 15/2</c:v>
                </c:pt>
                <c:pt idx="2">
                  <c:v>16/2 έως τέλος</c:v>
                </c:pt>
              </c:strCache>
            </c:strRef>
          </c:cat>
          <c:val>
            <c:numRef>
              <c:f>'Χειμερινές εκπτώσεις'!$C$77:$C$79</c:f>
              <c:numCache>
                <c:formatCode>0.0%</c:formatCode>
                <c:ptCount val="3"/>
                <c:pt idx="0">
                  <c:v>0.48275862068965614</c:v>
                </c:pt>
                <c:pt idx="1">
                  <c:v>0.43103448275862088</c:v>
                </c:pt>
                <c:pt idx="2">
                  <c:v>8.6206896551724227E-2</c:v>
                </c:pt>
              </c:numCache>
            </c:numRef>
          </c:val>
        </c:ser>
        <c:dLbls>
          <c:showVal val="1"/>
        </c:dLbls>
        <c:gapWidth val="120"/>
        <c:gapDepth val="120"/>
        <c:shape val="box"/>
        <c:axId val="146083200"/>
        <c:axId val="146089088"/>
        <c:axId val="0"/>
      </c:bar3DChart>
      <c:catAx>
        <c:axId val="146083200"/>
        <c:scaling>
          <c:orientation val="minMax"/>
        </c:scaling>
        <c:axPos val="b"/>
        <c:majorGridlines>
          <c:spPr>
            <a:ln w="3175">
              <a:solidFill>
                <a:srgbClr val="000000"/>
              </a:solidFill>
              <a:prstDash val="solid"/>
            </a:ln>
          </c:spPr>
        </c:majorGridlines>
        <c:numFmt formatCode="General" sourceLinked="1"/>
        <c:tickLblPos val="low"/>
        <c:spPr>
          <a:ln w="3175">
            <a:solidFill>
              <a:srgbClr val="000000"/>
            </a:solidFill>
            <a:prstDash val="solid"/>
          </a:ln>
        </c:spPr>
        <c:txPr>
          <a:bodyPr rot="0" vert="horz"/>
          <a:lstStyle/>
          <a:p>
            <a:pPr>
              <a:defRPr lang="el-GR" sz="1000" b="0" i="0" u="none" strike="noStrike" baseline="0">
                <a:solidFill>
                  <a:srgbClr val="000000"/>
                </a:solidFill>
                <a:latin typeface="Arial"/>
                <a:ea typeface="Arial"/>
                <a:cs typeface="Arial"/>
              </a:defRPr>
            </a:pPr>
            <a:endParaRPr lang="el-GR"/>
          </a:p>
        </c:txPr>
        <c:crossAx val="146089088"/>
        <c:crosses val="autoZero"/>
        <c:lblAlgn val="ctr"/>
        <c:lblOffset val="100"/>
        <c:tickLblSkip val="1"/>
        <c:tickMarkSkip val="1"/>
      </c:catAx>
      <c:valAx>
        <c:axId val="146089088"/>
        <c:scaling>
          <c:orientation val="minMax"/>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l-GR" sz="1000" b="0" i="0" u="none" strike="noStrike" baseline="0">
                <a:solidFill>
                  <a:srgbClr val="000000"/>
                </a:solidFill>
                <a:latin typeface="Arial"/>
                <a:ea typeface="Arial"/>
                <a:cs typeface="Arial"/>
              </a:defRPr>
            </a:pPr>
            <a:endParaRPr lang="el-GR"/>
          </a:p>
        </c:txPr>
        <c:crossAx val="146083200"/>
        <c:crosses val="autoZero"/>
        <c:crossBetween val="between"/>
      </c:valAx>
      <c:spPr>
        <a:noFill/>
        <a:ln w="25400">
          <a:noFill/>
        </a:ln>
      </c:spPr>
    </c:plotArea>
    <c:plotVisOnly val="1"/>
    <c:dispBlanksAs val="gap"/>
  </c:chart>
  <c:spPr>
    <a:solidFill>
      <a:srgbClr val="C0C0C0"/>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l-G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l-GR"/>
  <c:chart>
    <c:title>
      <c:tx>
        <c:rich>
          <a:bodyPr/>
          <a:lstStyle/>
          <a:p>
            <a:pPr>
              <a:defRPr sz="1200" b="1"/>
            </a:pPr>
            <a:r>
              <a:rPr lang="el-GR" sz="1200" b="1"/>
              <a:t>Το άνοιγμα της</a:t>
            </a:r>
            <a:r>
              <a:rPr lang="el-GR" sz="1200" b="1" baseline="0"/>
              <a:t> Κυριακής 17 Ιανουαρίου συνέβαλε θετικά ή δεν επηρέασε το συνολικό τζίρο της εκπτωτικής περιόδου; </a:t>
            </a:r>
            <a:endParaRPr lang="el-GR" sz="1200" b="1"/>
          </a:p>
        </c:rich>
      </c:tx>
    </c:title>
    <c:view3D>
      <c:perspective val="0"/>
    </c:view3D>
    <c:plotArea>
      <c:layout>
        <c:manualLayout>
          <c:layoutTarget val="inner"/>
          <c:xMode val="edge"/>
          <c:yMode val="edge"/>
          <c:x val="5.5561601311464003E-2"/>
          <c:y val="0.32126528628366091"/>
          <c:w val="0.76014474934819742"/>
          <c:h val="0.56039335694391912"/>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dLbls>
          <c:cat>
            <c:strRef>
              <c:f>'ΕΚΠΤΩΣΕΙΣ ΝΟΕΜΒΡΙΟΥ'!$A$116:$A$117</c:f>
              <c:strCache>
                <c:ptCount val="2"/>
                <c:pt idx="0">
                  <c:v>Συνέβαλε θετικά </c:v>
                </c:pt>
                <c:pt idx="1">
                  <c:v>Δεν επηρέασε</c:v>
                </c:pt>
              </c:strCache>
            </c:strRef>
          </c:cat>
          <c:val>
            <c:numRef>
              <c:f>'ΕΚΠΤΩΣΕΙΣ ΝΟΕΜΒΡΙΟΥ'!$C$116:$C$117</c:f>
              <c:numCache>
                <c:formatCode>0.0%</c:formatCode>
                <c:ptCount val="2"/>
                <c:pt idx="0">
                  <c:v>0.12903225806451613</c:v>
                </c:pt>
                <c:pt idx="1">
                  <c:v>0.87096774193548387</c:v>
                </c:pt>
              </c:numCache>
            </c:numRef>
          </c:val>
        </c:ser>
        <c:dLbls>
          <c:showPercent val="1"/>
        </c:dLbls>
      </c:pie3DChart>
      <c:spPr>
        <a:noFill/>
        <a:ln w="25400">
          <a:noFill/>
        </a:ln>
      </c:spPr>
    </c:plotArea>
    <c:legend>
      <c:legendPos val="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Πώς</a:t>
            </a:r>
            <a:r>
              <a:rPr lang="el-GR" baseline="0"/>
              <a:t> καλύπτουν την ανάγκη απασχόλησης προσωπικού για την λειτουργία την Κυριακή</a:t>
            </a:r>
            <a:endParaRPr lang="el-GR"/>
          </a:p>
        </c:rich>
      </c:tx>
      <c:spPr>
        <a:noFill/>
        <a:ln w="25400">
          <a:noFill/>
        </a:ln>
      </c:spPr>
    </c:title>
    <c:view3D>
      <c:perspective val="0"/>
    </c:view3D>
    <c:plotArea>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dLbls>
          <c:cat>
            <c:strRef>
              <c:f>'ΕΚΠΤΩΣΕΙΣ ΝΟΕΜΒΡΙΟΥ'!$A$134:$A$136</c:f>
              <c:strCache>
                <c:ptCount val="3"/>
                <c:pt idx="0">
                  <c:v>Έχω προσλάβει επιπλέον υπάλληλο</c:v>
                </c:pt>
                <c:pt idx="1">
                  <c:v>Έχει επεκταθεί το ωράριο εργασίας των ήδη υπαρχόντων υπαλλήλων </c:v>
                </c:pt>
                <c:pt idx="2">
                  <c:v>Έχω επωμιστεί προσωπικά την κάλυψη της ανάγκης </c:v>
                </c:pt>
              </c:strCache>
            </c:strRef>
          </c:cat>
          <c:val>
            <c:numRef>
              <c:f>'ΕΚΠΤΩΣΕΙΣ ΝΟΕΜΒΡΙΟΥ'!$D$134:$D$136</c:f>
              <c:numCache>
                <c:formatCode>0.0%</c:formatCode>
                <c:ptCount val="3"/>
                <c:pt idx="0">
                  <c:v>3.125E-2</c:v>
                </c:pt>
                <c:pt idx="1">
                  <c:v>0.18750000000000036</c:v>
                </c:pt>
                <c:pt idx="2">
                  <c:v>0.78125</c:v>
                </c:pt>
              </c:numCache>
            </c:numRef>
          </c:val>
        </c:ser>
        <c:dLbls>
          <c:showPercent val="1"/>
        </c:dLbls>
      </c:pie3DChart>
      <c:spPr>
        <a:noFill/>
        <a:ln w="25400">
          <a:noFill/>
        </a:ln>
      </c:spPr>
    </c:plotArea>
    <c:legend>
      <c:legendPos val="r"/>
      <c:spPr>
        <a:noFill/>
        <a:ln>
          <a:noFill/>
        </a:ln>
      </c:spPr>
      <c:txPr>
        <a:bodyPr/>
        <a:lstStyle/>
        <a:p>
          <a:pPr rtl="0">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Σε</a:t>
            </a:r>
            <a:r>
              <a:rPr lang="el-GR" baseline="0"/>
              <a:t> τι βαθμό το άνοιγμα των Κυριακών έχει επιβαρύνει το λειτουργικό κόστος</a:t>
            </a:r>
            <a:endParaRPr lang="el-GR"/>
          </a:p>
        </c:rich>
      </c:tx>
      <c:layout>
        <c:manualLayout>
          <c:xMode val="edge"/>
          <c:yMode val="edge"/>
          <c:x val="0.17605136606246488"/>
          <c:y val="3.0221064886574403E-2"/>
        </c:manualLayout>
      </c:layout>
      <c:spPr>
        <a:noFill/>
        <a:ln w="25400">
          <a:noFill/>
        </a:ln>
      </c:spPr>
    </c:title>
    <c:view3D>
      <c:perspective val="0"/>
    </c:view3D>
    <c:plotArea>
      <c:layout>
        <c:manualLayout>
          <c:layoutTarget val="inner"/>
          <c:xMode val="edge"/>
          <c:yMode val="edge"/>
          <c:x val="0.1174496644295302"/>
          <c:y val="0.27725941047085056"/>
          <c:w val="0.62080536912751683"/>
          <c:h val="0.45794531841814629"/>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dLbls>
          <c:cat>
            <c:strRef>
              <c:f>'ΕΚΠΤΩΣΕΙΣ ΝΟΕΜΒΡΙΟΥ'!$A$152:$A$155</c:f>
              <c:strCache>
                <c:ptCount val="4"/>
                <c:pt idx="0">
                  <c:v>Πάρα πολύ </c:v>
                </c:pt>
                <c:pt idx="1">
                  <c:v>Πολύ</c:v>
                </c:pt>
                <c:pt idx="2">
                  <c:v>Λίγο</c:v>
                </c:pt>
                <c:pt idx="3">
                  <c:v>Καθόλου</c:v>
                </c:pt>
              </c:strCache>
            </c:strRef>
          </c:cat>
          <c:val>
            <c:numRef>
              <c:f>'ΕΚΠΤΩΣΕΙΣ ΝΟΕΜΒΡΙΟΥ'!$D$152:$D$155</c:f>
              <c:numCache>
                <c:formatCode>0.0%</c:formatCode>
                <c:ptCount val="4"/>
                <c:pt idx="0">
                  <c:v>0.22580645161290341</c:v>
                </c:pt>
                <c:pt idx="1">
                  <c:v>0.29032258064516225</c:v>
                </c:pt>
                <c:pt idx="2">
                  <c:v>0.41935483870967866</c:v>
                </c:pt>
                <c:pt idx="3">
                  <c:v>6.4516129032258132E-2</c:v>
                </c:pt>
              </c:numCache>
            </c:numRef>
          </c:val>
        </c:ser>
        <c:dLbls>
          <c:showPercent val="1"/>
        </c:dLbls>
      </c:pie3DChart>
      <c:spPr>
        <a:noFill/>
        <a:ln w="25400">
          <a:noFill/>
        </a:ln>
      </c:spPr>
    </c:plotArea>
    <c:legend>
      <c:legendPos val="r"/>
      <c:spPr>
        <a:noFill/>
        <a:ln w="3175">
          <a:noFill/>
          <a:prstDash val="solid"/>
        </a:ln>
      </c:spPr>
      <c:txPr>
        <a:bodyPr/>
        <a:lstStyle/>
        <a:p>
          <a:pPr>
            <a:defRPr lang="el-GR" sz="800" b="0"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Σε</a:t>
            </a:r>
            <a:r>
              <a:rPr lang="el-GR" baseline="0"/>
              <a:t> τι βαθμό το άνοιγμα των Κυριακών έχει συμβάλλει στην επισκεψιμότητα του καταστήματος</a:t>
            </a:r>
            <a:endParaRPr lang="el-GR"/>
          </a:p>
        </c:rich>
      </c:tx>
      <c:layout>
        <c:manualLayout>
          <c:xMode val="edge"/>
          <c:yMode val="edge"/>
          <c:x val="0.17605136606246496"/>
          <c:y val="3.0221064886574413E-2"/>
        </c:manualLayout>
      </c:layout>
      <c:spPr>
        <a:noFill/>
        <a:ln w="25400">
          <a:noFill/>
        </a:ln>
      </c:spPr>
    </c:title>
    <c:view3D>
      <c:perspective val="0"/>
    </c:view3D>
    <c:plotArea>
      <c:layout>
        <c:manualLayout>
          <c:layoutTarget val="inner"/>
          <c:xMode val="edge"/>
          <c:yMode val="edge"/>
          <c:x val="0.1174496644295302"/>
          <c:y val="0.27725941047085056"/>
          <c:w val="0.62080536912751683"/>
          <c:h val="0.45794531841814629"/>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dLbls>
          <c:cat>
            <c:strRef>
              <c:f>'ΕΚΠΤΩΣΕΙΣ ΝΟΕΜΒΡΙΟΥ'!$A$169:$A$172</c:f>
              <c:strCache>
                <c:ptCount val="4"/>
                <c:pt idx="0">
                  <c:v>Πάρα πολύ </c:v>
                </c:pt>
                <c:pt idx="1">
                  <c:v>Πολύ</c:v>
                </c:pt>
                <c:pt idx="2">
                  <c:v>Λίγο</c:v>
                </c:pt>
                <c:pt idx="3">
                  <c:v>Καθόλου</c:v>
                </c:pt>
              </c:strCache>
            </c:strRef>
          </c:cat>
          <c:val>
            <c:numRef>
              <c:f>'ΕΚΠΤΩΣΕΙΣ ΝΟΕΜΒΡΙΟΥ'!$D$169:$D$172</c:f>
              <c:numCache>
                <c:formatCode>0.0%</c:formatCode>
                <c:ptCount val="4"/>
                <c:pt idx="0">
                  <c:v>0</c:v>
                </c:pt>
                <c:pt idx="1">
                  <c:v>6.25E-2</c:v>
                </c:pt>
                <c:pt idx="2">
                  <c:v>0.15625000000000036</c:v>
                </c:pt>
                <c:pt idx="3">
                  <c:v>0.78125</c:v>
                </c:pt>
              </c:numCache>
            </c:numRef>
          </c:val>
        </c:ser>
        <c:dLbls>
          <c:showPercent val="1"/>
        </c:dLbls>
      </c:pie3DChart>
      <c:spPr>
        <a:noFill/>
        <a:ln w="25400">
          <a:noFill/>
        </a:ln>
      </c:spPr>
    </c:plotArea>
    <c:legend>
      <c:legendPos val="r"/>
      <c:spPr>
        <a:noFill/>
        <a:ln w="3175">
          <a:noFill/>
          <a:prstDash val="solid"/>
        </a:ln>
      </c:spPr>
      <c:txPr>
        <a:bodyPr/>
        <a:lstStyle/>
        <a:p>
          <a:pPr>
            <a:defRPr lang="el-GR" sz="800" b="0"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l-GR"/>
  <c:chart>
    <c:plotArea>
      <c:layout/>
      <c:lineChart>
        <c:grouping val="standard"/>
        <c:ser>
          <c:idx val="0"/>
          <c:order val="0"/>
          <c:cat>
            <c:strRef>
              <c:f>Φύλλο1!$S$116:$S$152</c:f>
              <c:strCache>
                <c:ptCount val="37"/>
                <c:pt idx="0">
                  <c:v>Ιαν. 13</c:v>
                </c:pt>
                <c:pt idx="1">
                  <c:v>Φεβ. 13</c:v>
                </c:pt>
                <c:pt idx="2">
                  <c:v>Μάρ. 13</c:v>
                </c:pt>
                <c:pt idx="3">
                  <c:v>Απρ. 13</c:v>
                </c:pt>
                <c:pt idx="4">
                  <c:v>Μάι. 13</c:v>
                </c:pt>
                <c:pt idx="5">
                  <c:v>Ιούν. 13</c:v>
                </c:pt>
                <c:pt idx="6">
                  <c:v>Ιούλ. 13</c:v>
                </c:pt>
                <c:pt idx="7">
                  <c:v>Αύγ. 13</c:v>
                </c:pt>
                <c:pt idx="8">
                  <c:v>Σεπ. 13</c:v>
                </c:pt>
                <c:pt idx="9">
                  <c:v>Οκτ. 13</c:v>
                </c:pt>
                <c:pt idx="10">
                  <c:v>Νοέμ. 13</c:v>
                </c:pt>
                <c:pt idx="11">
                  <c:v>Δεκ. 13</c:v>
                </c:pt>
                <c:pt idx="12">
                  <c:v>Ιαν. 14</c:v>
                </c:pt>
                <c:pt idx="13">
                  <c:v>Φεβ. 14</c:v>
                </c:pt>
                <c:pt idx="14">
                  <c:v>Μάρ. 14</c:v>
                </c:pt>
                <c:pt idx="15">
                  <c:v>Απρ. 14</c:v>
                </c:pt>
                <c:pt idx="16">
                  <c:v>Μάι. 14</c:v>
                </c:pt>
                <c:pt idx="17">
                  <c:v>Ιούν. 14</c:v>
                </c:pt>
                <c:pt idx="18">
                  <c:v>Ιούλ. 14</c:v>
                </c:pt>
                <c:pt idx="19">
                  <c:v>Αύγ. 14</c:v>
                </c:pt>
                <c:pt idx="20">
                  <c:v>Σεπ. 14</c:v>
                </c:pt>
                <c:pt idx="21">
                  <c:v>Οκτ. 14</c:v>
                </c:pt>
                <c:pt idx="22">
                  <c:v>Νοέμ. 14</c:v>
                </c:pt>
                <c:pt idx="23">
                  <c:v>Δεκ. 14</c:v>
                </c:pt>
                <c:pt idx="24">
                  <c:v>Ιαν. 15</c:v>
                </c:pt>
                <c:pt idx="25">
                  <c:v>Φεβ. 15</c:v>
                </c:pt>
                <c:pt idx="26">
                  <c:v>Μάρ. 15</c:v>
                </c:pt>
                <c:pt idx="27">
                  <c:v>Απρ. 15</c:v>
                </c:pt>
                <c:pt idx="28">
                  <c:v>Μάι. 15</c:v>
                </c:pt>
                <c:pt idx="29">
                  <c:v>Ιούν. 15</c:v>
                </c:pt>
                <c:pt idx="30">
                  <c:v>Ιούλ. 15</c:v>
                </c:pt>
                <c:pt idx="31">
                  <c:v>Αύγ. 15</c:v>
                </c:pt>
                <c:pt idx="32">
                  <c:v>Σεπ. 15</c:v>
                </c:pt>
                <c:pt idx="33">
                  <c:v>Οκτ. 15</c:v>
                </c:pt>
                <c:pt idx="34">
                  <c:v>Νοέμ. 15</c:v>
                </c:pt>
                <c:pt idx="35">
                  <c:v>Δεκ. 15</c:v>
                </c:pt>
                <c:pt idx="36">
                  <c:v>Ιαν. 16</c:v>
                </c:pt>
              </c:strCache>
            </c:strRef>
          </c:cat>
          <c:val>
            <c:numRef>
              <c:f>Φύλλο1!$T$116:$T$152</c:f>
              <c:numCache>
                <c:formatCode>0.0%</c:formatCode>
                <c:ptCount val="37"/>
                <c:pt idx="0">
                  <c:v>2.0652480489496802E-3</c:v>
                </c:pt>
                <c:pt idx="1">
                  <c:v>6.9029199293612774E-4</c:v>
                </c:pt>
                <c:pt idx="2">
                  <c:v>-2.0798086752351207E-3</c:v>
                </c:pt>
                <c:pt idx="3">
                  <c:v>-5.9475948148925524E-3</c:v>
                </c:pt>
                <c:pt idx="4">
                  <c:v>-4.469820638687381E-3</c:v>
                </c:pt>
                <c:pt idx="5">
                  <c:v>-3.8402543532392191E-3</c:v>
                </c:pt>
                <c:pt idx="6">
                  <c:v>-6.9020605724230705E-3</c:v>
                </c:pt>
                <c:pt idx="7">
                  <c:v>-1.2781202875114537E-2</c:v>
                </c:pt>
                <c:pt idx="8">
                  <c:v>-1.1200571971874769E-2</c:v>
                </c:pt>
                <c:pt idx="9">
                  <c:v>-1.9885655277302346E-2</c:v>
                </c:pt>
                <c:pt idx="10">
                  <c:v>-2.8534715176111773E-2</c:v>
                </c:pt>
                <c:pt idx="11">
                  <c:v>-1.709923609121972E-2</c:v>
                </c:pt>
                <c:pt idx="12">
                  <c:v>-1.4702732379622595E-2</c:v>
                </c:pt>
                <c:pt idx="13">
                  <c:v>-1.1495932634585381E-2</c:v>
                </c:pt>
                <c:pt idx="14">
                  <c:v>-1.3479319454837701E-2</c:v>
                </c:pt>
                <c:pt idx="15">
                  <c:v>-1.3475520044818376E-2</c:v>
                </c:pt>
                <c:pt idx="16">
                  <c:v>-1.9598753775938001E-2</c:v>
                </c:pt>
                <c:pt idx="17">
                  <c:v>-1.0917558797402516E-2</c:v>
                </c:pt>
                <c:pt idx="18">
                  <c:v>-6.8016749430787034E-3</c:v>
                </c:pt>
                <c:pt idx="19">
                  <c:v>-2.9660596267817078E-3</c:v>
                </c:pt>
                <c:pt idx="20">
                  <c:v>-8.3993668812940708E-3</c:v>
                </c:pt>
                <c:pt idx="21">
                  <c:v>-1.6762308355444573E-2</c:v>
                </c:pt>
                <c:pt idx="22">
                  <c:v>-1.2463224379238443E-2</c:v>
                </c:pt>
                <c:pt idx="23">
                  <c:v>-2.6068663789686409E-2</c:v>
                </c:pt>
                <c:pt idx="24">
                  <c:v>-2.836967502317661E-2</c:v>
                </c:pt>
                <c:pt idx="25">
                  <c:v>-2.1596977769619333E-2</c:v>
                </c:pt>
                <c:pt idx="26">
                  <c:v>-2.1417478945918472E-2</c:v>
                </c:pt>
                <c:pt idx="27">
                  <c:v>-2.1068276878376025E-2</c:v>
                </c:pt>
                <c:pt idx="28">
                  <c:v>-2.1490625399468208E-2</c:v>
                </c:pt>
                <c:pt idx="29">
                  <c:v>-2.1562427078662332E-2</c:v>
                </c:pt>
                <c:pt idx="30">
                  <c:v>-2.2301348829829509E-2</c:v>
                </c:pt>
                <c:pt idx="31">
                  <c:v>-1.4591939712475183E-2</c:v>
                </c:pt>
                <c:pt idx="32">
                  <c:v>-1.7186638344159871E-2</c:v>
                </c:pt>
                <c:pt idx="33">
                  <c:v>-9.1733354857502711E-3</c:v>
                </c:pt>
                <c:pt idx="34">
                  <c:v>-7.3901022817895127E-3</c:v>
                </c:pt>
                <c:pt idx="35">
                  <c:v>-1.6734929632232559E-3</c:v>
                </c:pt>
                <c:pt idx="36">
                  <c:v>-7.3463646310342303E-3</c:v>
                </c:pt>
              </c:numCache>
            </c:numRef>
          </c:val>
        </c:ser>
        <c:marker val="1"/>
        <c:axId val="146229120"/>
        <c:axId val="146230656"/>
      </c:lineChart>
      <c:catAx>
        <c:axId val="146229120"/>
        <c:scaling>
          <c:orientation val="minMax"/>
        </c:scaling>
        <c:axPos val="b"/>
        <c:tickLblPos val="low"/>
        <c:crossAx val="146230656"/>
        <c:crosses val="autoZero"/>
        <c:auto val="1"/>
        <c:lblAlgn val="ctr"/>
        <c:lblOffset val="100"/>
      </c:catAx>
      <c:valAx>
        <c:axId val="146230656"/>
        <c:scaling>
          <c:orientation val="minMax"/>
        </c:scaling>
        <c:axPos val="l"/>
        <c:majorGridlines/>
        <c:numFmt formatCode="0.0%" sourceLinked="1"/>
        <c:tickLblPos val="nextTo"/>
        <c:crossAx val="146229120"/>
        <c:crosses val="autoZero"/>
        <c:crossBetween val="between"/>
      </c:valAx>
    </c:plotArea>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44912-ED2E-4357-BB77-53A3211E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1884</Words>
  <Characters>10174</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kfilippou</dc:creator>
  <cp:lastModifiedBy>kfilippou</cp:lastModifiedBy>
  <cp:revision>22</cp:revision>
  <cp:lastPrinted>2014-11-28T10:07:00Z</cp:lastPrinted>
  <dcterms:created xsi:type="dcterms:W3CDTF">2016-02-25T08:08:00Z</dcterms:created>
  <dcterms:modified xsi:type="dcterms:W3CDTF">2016-02-25T10:09:00Z</dcterms:modified>
</cp:coreProperties>
</file>