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07" w:rsidRDefault="000A2184" w:rsidP="00263C7E">
      <w:pPr>
        <w:pStyle w:val="s5"/>
        <w:spacing w:before="0" w:beforeAutospacing="0" w:after="0" w:afterAutospacing="0"/>
        <w:jc w:val="center"/>
        <w:rPr>
          <w:rStyle w:val="s8"/>
          <w:b/>
          <w:bCs/>
          <w:lang w:val="en-US"/>
        </w:rPr>
      </w:pPr>
      <w:r w:rsidRPr="00727D28">
        <w:rPr>
          <w:b/>
          <w:bCs/>
          <w:noProof/>
        </w:rPr>
        <w:drawing>
          <wp:inline distT="0" distB="0" distL="0" distR="0">
            <wp:extent cx="3028950" cy="704850"/>
            <wp:effectExtent l="19050" t="0" r="0" b="0"/>
            <wp:docPr id="4" name="Εικόνα 4" descr="C:\Users\kliok\Desktop\TEL-logo-esee-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liok\Desktop\TEL-logo-esee-01 (2).jpg"/>
                    <pic:cNvPicPr>
                      <a:picLocks noChangeAspect="1" noChangeArrowheads="1"/>
                    </pic:cNvPicPr>
                  </pic:nvPicPr>
                  <pic:blipFill>
                    <a:blip r:embed="rId8" cstate="print"/>
                    <a:srcRect/>
                    <a:stretch>
                      <a:fillRect/>
                    </a:stretch>
                  </pic:blipFill>
                  <pic:spPr bwMode="auto">
                    <a:xfrm>
                      <a:off x="0" y="0"/>
                      <a:ext cx="3028950" cy="704850"/>
                    </a:xfrm>
                    <a:prstGeom prst="rect">
                      <a:avLst/>
                    </a:prstGeom>
                    <a:noFill/>
                    <a:ln w="9525">
                      <a:noFill/>
                      <a:miter lim="800000"/>
                      <a:headEnd/>
                      <a:tailEnd/>
                    </a:ln>
                  </pic:spPr>
                </pic:pic>
              </a:graphicData>
            </a:graphic>
          </wp:inline>
        </w:drawing>
      </w:r>
    </w:p>
    <w:p w:rsidR="004B1639" w:rsidRDefault="004B1639" w:rsidP="004B1639">
      <w:pPr>
        <w:pStyle w:val="s4"/>
        <w:spacing w:before="0" w:beforeAutospacing="0" w:after="0" w:afterAutospacing="0"/>
        <w:rPr>
          <w:rStyle w:val="s3"/>
          <w:b/>
          <w:bCs/>
        </w:rPr>
      </w:pPr>
    </w:p>
    <w:p w:rsidR="004B158C" w:rsidRPr="004B158C" w:rsidRDefault="004B158C" w:rsidP="004B158C">
      <w:pPr>
        <w:spacing w:after="0" w:line="360" w:lineRule="auto"/>
        <w:jc w:val="both"/>
        <w:rPr>
          <w:rFonts w:ascii="Times New Roman" w:hAnsi="Times New Roman" w:cs="Times New Roman"/>
          <w:b/>
          <w:sz w:val="24"/>
          <w:szCs w:val="24"/>
        </w:rPr>
      </w:pPr>
    </w:p>
    <w:p w:rsidR="00E64512" w:rsidRPr="002A7A89" w:rsidRDefault="00E64512" w:rsidP="00E64512">
      <w:pPr>
        <w:pStyle w:val="ae"/>
        <w:ind w:left="4320" w:firstLine="720"/>
        <w:jc w:val="center"/>
        <w:rPr>
          <w:rFonts w:ascii="Times New Roman" w:hAnsi="Times New Roman"/>
          <w:sz w:val="25"/>
          <w:szCs w:val="25"/>
        </w:rPr>
      </w:pPr>
      <w:r w:rsidRPr="002A7A89">
        <w:rPr>
          <w:rFonts w:ascii="Times New Roman" w:hAnsi="Times New Roman"/>
          <w:sz w:val="25"/>
          <w:szCs w:val="25"/>
        </w:rPr>
        <w:t xml:space="preserve">Αθήνα, </w:t>
      </w:r>
      <w:r w:rsidR="00A24371" w:rsidRPr="00E67A81">
        <w:rPr>
          <w:rFonts w:ascii="Times New Roman" w:hAnsi="Times New Roman"/>
          <w:sz w:val="25"/>
          <w:szCs w:val="25"/>
        </w:rPr>
        <w:t>31</w:t>
      </w:r>
      <w:r w:rsidRPr="002A7A89">
        <w:rPr>
          <w:rFonts w:ascii="Times New Roman" w:hAnsi="Times New Roman"/>
          <w:sz w:val="25"/>
          <w:szCs w:val="25"/>
        </w:rPr>
        <w:t xml:space="preserve"> </w:t>
      </w:r>
      <w:r w:rsidR="00A24371">
        <w:rPr>
          <w:rFonts w:ascii="Times New Roman" w:hAnsi="Times New Roman"/>
          <w:sz w:val="25"/>
          <w:szCs w:val="25"/>
        </w:rPr>
        <w:t>Αυγούστου</w:t>
      </w:r>
      <w:r w:rsidRPr="002A7A89">
        <w:rPr>
          <w:rFonts w:ascii="Times New Roman" w:hAnsi="Times New Roman"/>
          <w:sz w:val="25"/>
          <w:szCs w:val="25"/>
        </w:rPr>
        <w:t xml:space="preserve"> </w:t>
      </w:r>
      <w:r w:rsidR="00CB4F30">
        <w:rPr>
          <w:rFonts w:ascii="Times New Roman" w:hAnsi="Times New Roman"/>
          <w:sz w:val="25"/>
          <w:szCs w:val="25"/>
        </w:rPr>
        <w:t>2016</w:t>
      </w:r>
    </w:p>
    <w:p w:rsidR="00E64512" w:rsidRPr="002A7A89" w:rsidRDefault="00E64512" w:rsidP="00E64512">
      <w:pPr>
        <w:pStyle w:val="ae"/>
        <w:jc w:val="center"/>
        <w:rPr>
          <w:rFonts w:ascii="Times New Roman" w:hAnsi="Times New Roman"/>
          <w:sz w:val="25"/>
          <w:szCs w:val="25"/>
        </w:rPr>
      </w:pPr>
    </w:p>
    <w:p w:rsidR="00E64512" w:rsidRPr="00E64512" w:rsidRDefault="00E64512" w:rsidP="00E64512">
      <w:pPr>
        <w:pStyle w:val="ae"/>
        <w:jc w:val="center"/>
        <w:rPr>
          <w:rFonts w:ascii="Times New Roman" w:hAnsi="Times New Roman"/>
          <w:sz w:val="25"/>
          <w:szCs w:val="25"/>
          <w:u w:val="single"/>
        </w:rPr>
      </w:pPr>
      <w:r w:rsidRPr="002A7A89">
        <w:rPr>
          <w:rFonts w:ascii="Times New Roman" w:hAnsi="Times New Roman"/>
          <w:sz w:val="25"/>
          <w:szCs w:val="25"/>
          <w:u w:val="single"/>
        </w:rPr>
        <w:t xml:space="preserve">ΔΕΛΤΙΟ ΤΥΠΟΥ </w:t>
      </w:r>
    </w:p>
    <w:p w:rsidR="00E64512" w:rsidRPr="00E64512" w:rsidRDefault="00E64512" w:rsidP="00E64512">
      <w:pPr>
        <w:pStyle w:val="ae"/>
        <w:jc w:val="center"/>
        <w:rPr>
          <w:rFonts w:ascii="Times New Roman" w:hAnsi="Times New Roman"/>
          <w:b/>
          <w:sz w:val="25"/>
          <w:szCs w:val="25"/>
        </w:rPr>
      </w:pPr>
    </w:p>
    <w:p w:rsidR="00B35389" w:rsidRPr="00764F00" w:rsidRDefault="00B35389" w:rsidP="00B35389">
      <w:pPr>
        <w:spacing w:after="0"/>
        <w:jc w:val="center"/>
        <w:rPr>
          <w:rFonts w:ascii="Times New Roman" w:hAnsi="Times New Roman" w:cs="Times New Roman"/>
          <w:b/>
          <w:bCs/>
          <w:sz w:val="28"/>
          <w:szCs w:val="28"/>
        </w:rPr>
      </w:pPr>
      <w:r w:rsidRPr="009978C3">
        <w:rPr>
          <w:rFonts w:ascii="Times New Roman" w:hAnsi="Times New Roman" w:cs="Times New Roman"/>
          <w:b/>
          <w:bCs/>
          <w:sz w:val="28"/>
          <w:szCs w:val="28"/>
        </w:rPr>
        <w:t>«Χαμηλότερα των προσδοκιών τα αποτελέσματα της εφετι</w:t>
      </w:r>
      <w:r w:rsidR="00242D90">
        <w:rPr>
          <w:rFonts w:ascii="Times New Roman" w:hAnsi="Times New Roman" w:cs="Times New Roman"/>
          <w:b/>
          <w:bCs/>
          <w:sz w:val="28"/>
          <w:szCs w:val="28"/>
        </w:rPr>
        <w:t>νής θερινής εκπτωτικής περιόδου</w:t>
      </w:r>
      <w:r w:rsidRPr="009978C3">
        <w:rPr>
          <w:rFonts w:ascii="Times New Roman" w:hAnsi="Times New Roman" w:cs="Times New Roman"/>
          <w:b/>
          <w:bCs/>
          <w:sz w:val="28"/>
          <w:szCs w:val="28"/>
        </w:rPr>
        <w:t>»</w:t>
      </w:r>
    </w:p>
    <w:p w:rsidR="007F099E" w:rsidRPr="00C667D6" w:rsidRDefault="00E64512" w:rsidP="00E64512">
      <w:pPr>
        <w:spacing w:after="0"/>
        <w:rPr>
          <w:rFonts w:ascii="Times New Roman" w:hAnsi="Times New Roman" w:cs="Times New Roman"/>
          <w:sz w:val="28"/>
          <w:szCs w:val="28"/>
        </w:rPr>
      </w:pPr>
      <w:r w:rsidRPr="00C667D6">
        <w:rPr>
          <w:rFonts w:ascii="Times New Roman" w:hAnsi="Times New Roman" w:cs="Times New Roman"/>
          <w:sz w:val="28"/>
          <w:szCs w:val="28"/>
        </w:rPr>
        <w:t> </w:t>
      </w:r>
    </w:p>
    <w:p w:rsidR="007F099E" w:rsidRPr="007F099E" w:rsidRDefault="007F099E" w:rsidP="007F099E">
      <w:pPr>
        <w:pStyle w:val="ae"/>
        <w:jc w:val="center"/>
        <w:rPr>
          <w:rFonts w:ascii="Times New Roman" w:hAnsi="Times New Roman"/>
          <w:b/>
          <w:sz w:val="25"/>
          <w:szCs w:val="25"/>
        </w:rPr>
      </w:pPr>
    </w:p>
    <w:p w:rsidR="007F099E" w:rsidRPr="00CF1E5D" w:rsidRDefault="00364DC5" w:rsidP="00364DC5">
      <w:pPr>
        <w:pStyle w:val="ae"/>
        <w:jc w:val="center"/>
        <w:rPr>
          <w:rFonts w:ascii="Times New Roman" w:hAnsi="Times New Roman"/>
          <w:b/>
          <w:i/>
          <w:sz w:val="25"/>
          <w:szCs w:val="25"/>
        </w:rPr>
      </w:pPr>
      <w:r>
        <w:rPr>
          <w:rFonts w:ascii="Times New Roman" w:hAnsi="Times New Roman"/>
          <w:b/>
          <w:i/>
          <w:sz w:val="25"/>
          <w:szCs w:val="25"/>
        </w:rPr>
        <w:t>«</w:t>
      </w:r>
      <w:r w:rsidR="007F099E" w:rsidRPr="00CF1E5D">
        <w:rPr>
          <w:rFonts w:ascii="Times New Roman" w:hAnsi="Times New Roman"/>
          <w:b/>
          <w:i/>
          <w:sz w:val="25"/>
          <w:szCs w:val="25"/>
        </w:rPr>
        <w:t xml:space="preserve">Αποτελέσματα </w:t>
      </w:r>
      <w:r>
        <w:rPr>
          <w:rFonts w:ascii="Times New Roman" w:hAnsi="Times New Roman"/>
          <w:b/>
          <w:i/>
          <w:sz w:val="25"/>
          <w:szCs w:val="25"/>
        </w:rPr>
        <w:t xml:space="preserve">έρευνας </w:t>
      </w:r>
      <w:r w:rsidR="00A24371">
        <w:rPr>
          <w:rFonts w:ascii="Times New Roman" w:hAnsi="Times New Roman"/>
          <w:b/>
          <w:i/>
          <w:sz w:val="25"/>
          <w:szCs w:val="25"/>
        </w:rPr>
        <w:t>Θερινών</w:t>
      </w:r>
      <w:r w:rsidR="007F099E" w:rsidRPr="00CF1E5D">
        <w:rPr>
          <w:rFonts w:ascii="Times New Roman" w:hAnsi="Times New Roman"/>
          <w:b/>
          <w:i/>
          <w:sz w:val="25"/>
          <w:szCs w:val="25"/>
        </w:rPr>
        <w:t xml:space="preserve"> εκπτώσεων 2016</w:t>
      </w:r>
      <w:r w:rsidR="004A75ED">
        <w:rPr>
          <w:rFonts w:ascii="Times New Roman" w:hAnsi="Times New Roman"/>
          <w:b/>
          <w:i/>
          <w:sz w:val="25"/>
          <w:szCs w:val="25"/>
        </w:rPr>
        <w:t xml:space="preserve"> σε εμπορικές αγορές </w:t>
      </w:r>
      <w:r w:rsidR="004A75ED" w:rsidRPr="00FD66C7">
        <w:rPr>
          <w:rFonts w:ascii="Times New Roman" w:hAnsi="Times New Roman"/>
          <w:b/>
          <w:i/>
          <w:sz w:val="25"/>
          <w:szCs w:val="25"/>
        </w:rPr>
        <w:t>και στα Ανοικτά Κέντρα Εμπορίου</w:t>
      </w:r>
      <w:r w:rsidR="007F099E" w:rsidRPr="00CF1E5D">
        <w:rPr>
          <w:rFonts w:ascii="Times New Roman" w:hAnsi="Times New Roman"/>
          <w:b/>
          <w:i/>
          <w:sz w:val="25"/>
          <w:szCs w:val="25"/>
        </w:rPr>
        <w:t>»</w:t>
      </w:r>
    </w:p>
    <w:p w:rsidR="007F099E" w:rsidRPr="005508CC" w:rsidRDefault="007F099E" w:rsidP="007F099E">
      <w:pPr>
        <w:pStyle w:val="ae"/>
        <w:jc w:val="both"/>
        <w:rPr>
          <w:rFonts w:ascii="Times New Roman" w:hAnsi="Times New Roman"/>
          <w:sz w:val="25"/>
          <w:szCs w:val="25"/>
        </w:rPr>
      </w:pPr>
    </w:p>
    <w:p w:rsidR="004A75ED" w:rsidRDefault="007F099E" w:rsidP="007F099E">
      <w:pPr>
        <w:pStyle w:val="ae"/>
        <w:jc w:val="both"/>
        <w:rPr>
          <w:rFonts w:ascii="Times New Roman" w:hAnsi="Times New Roman"/>
          <w:sz w:val="24"/>
          <w:szCs w:val="24"/>
        </w:rPr>
      </w:pPr>
      <w:r w:rsidRPr="00FD66C7">
        <w:rPr>
          <w:rFonts w:ascii="Times New Roman" w:hAnsi="Times New Roman"/>
          <w:sz w:val="24"/>
          <w:szCs w:val="24"/>
        </w:rPr>
        <w:t xml:space="preserve">Το ΙΝΕΜΥ-ΕΣΕΕ πραγματοποίησε την </w:t>
      </w:r>
      <w:r w:rsidR="00A24371" w:rsidRPr="00FD66C7">
        <w:rPr>
          <w:rFonts w:ascii="Times New Roman" w:hAnsi="Times New Roman"/>
          <w:sz w:val="24"/>
          <w:szCs w:val="24"/>
        </w:rPr>
        <w:t xml:space="preserve">καθιερωμένη </w:t>
      </w:r>
      <w:r w:rsidRPr="00FD66C7">
        <w:rPr>
          <w:rFonts w:ascii="Times New Roman" w:hAnsi="Times New Roman"/>
          <w:sz w:val="24"/>
          <w:szCs w:val="24"/>
        </w:rPr>
        <w:t xml:space="preserve">περιοδική έρευνα για τις </w:t>
      </w:r>
      <w:r w:rsidR="00A24371" w:rsidRPr="00FD66C7">
        <w:rPr>
          <w:rFonts w:ascii="Times New Roman" w:hAnsi="Times New Roman"/>
          <w:sz w:val="24"/>
          <w:szCs w:val="24"/>
        </w:rPr>
        <w:t>θερινές</w:t>
      </w:r>
      <w:r w:rsidR="004A75ED" w:rsidRPr="00FD66C7">
        <w:rPr>
          <w:rFonts w:ascii="Times New Roman" w:hAnsi="Times New Roman"/>
          <w:sz w:val="24"/>
          <w:szCs w:val="24"/>
        </w:rPr>
        <w:t xml:space="preserve"> εκπτώσεις, </w:t>
      </w:r>
      <w:r w:rsidR="00A24371" w:rsidRPr="00FD66C7">
        <w:rPr>
          <w:rFonts w:ascii="Times New Roman" w:hAnsi="Times New Roman"/>
          <w:sz w:val="24"/>
          <w:szCs w:val="24"/>
        </w:rPr>
        <w:t>διερευνώντας</w:t>
      </w:r>
      <w:r w:rsidRPr="00FD66C7">
        <w:rPr>
          <w:rFonts w:ascii="Times New Roman" w:hAnsi="Times New Roman"/>
          <w:sz w:val="24"/>
          <w:szCs w:val="24"/>
        </w:rPr>
        <w:t xml:space="preserve"> </w:t>
      </w:r>
      <w:r w:rsidR="00E67A81" w:rsidRPr="00FD66C7">
        <w:rPr>
          <w:rFonts w:ascii="Times New Roman" w:hAnsi="Times New Roman"/>
          <w:sz w:val="24"/>
          <w:szCs w:val="24"/>
        </w:rPr>
        <w:t xml:space="preserve">παράλληλα </w:t>
      </w:r>
      <w:r w:rsidRPr="00FD66C7">
        <w:rPr>
          <w:rFonts w:ascii="Times New Roman" w:hAnsi="Times New Roman"/>
          <w:sz w:val="24"/>
          <w:szCs w:val="24"/>
        </w:rPr>
        <w:t xml:space="preserve">τη στάση και τις απόψεις των εμπόρων για το άνοιγμα των Κυριακών. Η </w:t>
      </w:r>
      <w:r w:rsidR="00FD66C7" w:rsidRPr="00FD66C7">
        <w:rPr>
          <w:rFonts w:ascii="Times New Roman" w:hAnsi="Times New Roman"/>
          <w:sz w:val="24"/>
          <w:szCs w:val="24"/>
        </w:rPr>
        <w:t xml:space="preserve">εκπονηθείσα </w:t>
      </w:r>
      <w:r w:rsidRPr="00FD66C7">
        <w:rPr>
          <w:rFonts w:ascii="Times New Roman" w:hAnsi="Times New Roman"/>
          <w:sz w:val="24"/>
          <w:szCs w:val="24"/>
        </w:rPr>
        <w:t>τηλεφωνική</w:t>
      </w:r>
      <w:r w:rsidR="00242D90">
        <w:rPr>
          <w:rFonts w:ascii="Times New Roman" w:hAnsi="Times New Roman"/>
          <w:sz w:val="24"/>
          <w:szCs w:val="24"/>
        </w:rPr>
        <w:t xml:space="preserve"> έρευνα διενεργήθηκε</w:t>
      </w:r>
      <w:r w:rsidR="00FD66C7" w:rsidRPr="00FD66C7">
        <w:rPr>
          <w:rFonts w:ascii="Times New Roman" w:hAnsi="Times New Roman"/>
          <w:sz w:val="24"/>
          <w:szCs w:val="24"/>
        </w:rPr>
        <w:t xml:space="preserve"> μέσω</w:t>
      </w:r>
      <w:r w:rsidRPr="00FD66C7">
        <w:rPr>
          <w:rFonts w:ascii="Times New Roman" w:hAnsi="Times New Roman"/>
          <w:sz w:val="24"/>
          <w:szCs w:val="24"/>
        </w:rPr>
        <w:t xml:space="preserve"> χρήση</w:t>
      </w:r>
      <w:r w:rsidR="00FD66C7" w:rsidRPr="00FD66C7">
        <w:rPr>
          <w:rFonts w:ascii="Times New Roman" w:hAnsi="Times New Roman"/>
          <w:sz w:val="24"/>
          <w:szCs w:val="24"/>
        </w:rPr>
        <w:t>ς</w:t>
      </w:r>
      <w:r w:rsidRPr="00FD66C7">
        <w:rPr>
          <w:rFonts w:ascii="Times New Roman" w:hAnsi="Times New Roman"/>
          <w:sz w:val="24"/>
          <w:szCs w:val="24"/>
        </w:rPr>
        <w:t xml:space="preserve"> δομημένου ερωτηματολογίου σε τυχαίο δείγμα </w:t>
      </w:r>
      <w:r w:rsidR="009978C3" w:rsidRPr="009978C3">
        <w:rPr>
          <w:rFonts w:ascii="Times New Roman" w:hAnsi="Times New Roman"/>
          <w:sz w:val="24"/>
          <w:szCs w:val="24"/>
        </w:rPr>
        <w:t>200</w:t>
      </w:r>
      <w:r w:rsidRPr="00FD66C7">
        <w:rPr>
          <w:rFonts w:ascii="Times New Roman" w:hAnsi="Times New Roman"/>
          <w:sz w:val="24"/>
          <w:szCs w:val="24"/>
        </w:rPr>
        <w:t xml:space="preserve"> εμπορικών επιχειρήσεων σε παραδοσιακές εμπορικές αγορές αστικών κέντρων της χώρας.</w:t>
      </w:r>
      <w:r w:rsidR="004A75ED" w:rsidRPr="00FD66C7">
        <w:rPr>
          <w:rFonts w:ascii="Times New Roman" w:hAnsi="Times New Roman"/>
          <w:sz w:val="24"/>
          <w:szCs w:val="24"/>
        </w:rPr>
        <w:t xml:space="preserve"> Παράλληλα και για πρώτη φορά επιχειρήθηκε η αποτύπωση των αποτελεσμάτων της εκπτωτικής θερινής περιόδου στις </w:t>
      </w:r>
      <w:r w:rsidR="00E60B0B" w:rsidRPr="00FD66C7">
        <w:rPr>
          <w:rFonts w:ascii="Times New Roman" w:hAnsi="Times New Roman"/>
          <w:sz w:val="24"/>
          <w:szCs w:val="24"/>
        </w:rPr>
        <w:t xml:space="preserve">εμπορικές </w:t>
      </w:r>
      <w:r w:rsidR="004A75ED" w:rsidRPr="00FD66C7">
        <w:rPr>
          <w:rFonts w:ascii="Times New Roman" w:hAnsi="Times New Roman"/>
          <w:sz w:val="24"/>
          <w:szCs w:val="24"/>
        </w:rPr>
        <w:t xml:space="preserve">επιχειρήσεις που </w:t>
      </w:r>
      <w:r w:rsidR="00FD66C7" w:rsidRPr="00FD66C7">
        <w:rPr>
          <w:rFonts w:ascii="Times New Roman" w:hAnsi="Times New Roman"/>
          <w:sz w:val="24"/>
          <w:szCs w:val="24"/>
        </w:rPr>
        <w:t>συμμετέχουν</w:t>
      </w:r>
      <w:r w:rsidR="00E60B0B" w:rsidRPr="00FD66C7">
        <w:rPr>
          <w:rFonts w:ascii="Times New Roman" w:hAnsi="Times New Roman"/>
          <w:sz w:val="24"/>
          <w:szCs w:val="24"/>
        </w:rPr>
        <w:t xml:space="preserve"> </w:t>
      </w:r>
      <w:r w:rsidR="00FD66C7" w:rsidRPr="00FD66C7">
        <w:rPr>
          <w:rFonts w:ascii="Times New Roman" w:hAnsi="Times New Roman"/>
          <w:sz w:val="24"/>
          <w:szCs w:val="24"/>
        </w:rPr>
        <w:t>στ</w:t>
      </w:r>
      <w:r w:rsidR="00E60B0B" w:rsidRPr="00FD66C7">
        <w:rPr>
          <w:rFonts w:ascii="Times New Roman" w:hAnsi="Times New Roman"/>
          <w:sz w:val="24"/>
          <w:szCs w:val="24"/>
        </w:rPr>
        <w:t>α</w:t>
      </w:r>
      <w:r w:rsidR="004A75ED" w:rsidRPr="00FD66C7">
        <w:rPr>
          <w:rFonts w:ascii="Times New Roman" w:hAnsi="Times New Roman"/>
          <w:sz w:val="24"/>
          <w:szCs w:val="24"/>
        </w:rPr>
        <w:t xml:space="preserve"> Ανοικτά Κέντρα Εμπορίου, ενώ κατεγράφησαν και οι απόψεις πολλών Εμπορικών Συλλόγων από το σύνολο της Επικράτειας.</w:t>
      </w:r>
    </w:p>
    <w:p w:rsidR="004A75ED" w:rsidRDefault="004A75ED" w:rsidP="007F099E">
      <w:pPr>
        <w:pStyle w:val="ae"/>
        <w:jc w:val="both"/>
        <w:rPr>
          <w:rFonts w:ascii="Times New Roman" w:hAnsi="Times New Roman"/>
          <w:sz w:val="24"/>
          <w:szCs w:val="24"/>
        </w:rPr>
      </w:pPr>
    </w:p>
    <w:p w:rsidR="00242D90" w:rsidRDefault="00C30346" w:rsidP="00C3034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Όπως προκύπτει από τα αποτελέσματα της έρευνας που πραγματοποιεί σε ετήσια βάση το ΙΝΕΜΥ-ΕΣΕΕ, οι αρχικές προσδοκίες του εμπορικού κόσμου που είχαν καλλιεργηθεί πριν την έναρξη των θερινών εκπτώσεων </w:t>
      </w:r>
      <w:r w:rsidRPr="00242D90">
        <w:rPr>
          <w:rFonts w:ascii="Times New Roman" w:hAnsi="Times New Roman" w:cs="Times New Roman"/>
          <w:b/>
          <w:sz w:val="24"/>
          <w:szCs w:val="24"/>
        </w:rPr>
        <w:t>τελικά δεν επαληθεύτηκαν.</w:t>
      </w:r>
      <w:r>
        <w:rPr>
          <w:rFonts w:ascii="Times New Roman" w:hAnsi="Times New Roman" w:cs="Times New Roman"/>
          <w:sz w:val="24"/>
          <w:szCs w:val="24"/>
        </w:rPr>
        <w:t xml:space="preserve"> Η γενικότερη συγκριτική εικόνα 2016/2015 μπορεί</w:t>
      </w:r>
      <w:r w:rsidRPr="00C30346">
        <w:rPr>
          <w:rFonts w:ascii="Times New Roman" w:hAnsi="Times New Roman" w:cs="Times New Roman"/>
          <w:sz w:val="24"/>
          <w:szCs w:val="24"/>
        </w:rPr>
        <w:t xml:space="preserve"> </w:t>
      </w:r>
      <w:r>
        <w:rPr>
          <w:rFonts w:ascii="Times New Roman" w:hAnsi="Times New Roman" w:cs="Times New Roman"/>
          <w:sz w:val="24"/>
          <w:szCs w:val="24"/>
        </w:rPr>
        <w:t xml:space="preserve"> να είναι βελτιωμένη σε ορισμένα σημεία της σε σχέση με τα αποτελέσματα της σύγκρισης των ετών 20</w:t>
      </w:r>
      <w:r w:rsidR="00242D90">
        <w:rPr>
          <w:rFonts w:ascii="Times New Roman" w:hAnsi="Times New Roman" w:cs="Times New Roman"/>
          <w:sz w:val="24"/>
          <w:szCs w:val="24"/>
        </w:rPr>
        <w:t>15/2014. Ωστόσο, δεν θα πρέπει</w:t>
      </w:r>
      <w:r>
        <w:rPr>
          <w:rFonts w:ascii="Times New Roman" w:hAnsi="Times New Roman" w:cs="Times New Roman"/>
          <w:sz w:val="24"/>
          <w:szCs w:val="24"/>
        </w:rPr>
        <w:t xml:space="preserve"> ν</w:t>
      </w:r>
      <w:r w:rsidR="00242D90">
        <w:rPr>
          <w:rFonts w:ascii="Times New Roman" w:hAnsi="Times New Roman" w:cs="Times New Roman"/>
          <w:sz w:val="24"/>
          <w:szCs w:val="24"/>
        </w:rPr>
        <w:t>α διαφεύγει της προσοχής μας ότι το καλοκαίρι του 2015</w:t>
      </w:r>
      <w:r>
        <w:rPr>
          <w:rFonts w:ascii="Times New Roman" w:hAnsi="Times New Roman" w:cs="Times New Roman"/>
          <w:sz w:val="24"/>
          <w:szCs w:val="24"/>
        </w:rPr>
        <w:t xml:space="preserve"> η </w:t>
      </w:r>
      <w:r w:rsidR="00242D90">
        <w:rPr>
          <w:rFonts w:ascii="Times New Roman" w:hAnsi="Times New Roman" w:cs="Times New Roman"/>
          <w:sz w:val="24"/>
          <w:szCs w:val="24"/>
        </w:rPr>
        <w:t xml:space="preserve">διαδραματίστηκαν πρωτόγνωρα γεγονότα όπως η </w:t>
      </w:r>
      <w:r>
        <w:rPr>
          <w:rFonts w:ascii="Times New Roman" w:hAnsi="Times New Roman" w:cs="Times New Roman"/>
          <w:sz w:val="24"/>
          <w:szCs w:val="24"/>
        </w:rPr>
        <w:t xml:space="preserve">επιβολή των κεφαλαιακών ελέγχων και </w:t>
      </w:r>
      <w:r w:rsidR="00242D90">
        <w:rPr>
          <w:rFonts w:ascii="Times New Roman" w:hAnsi="Times New Roman" w:cs="Times New Roman"/>
          <w:sz w:val="24"/>
          <w:szCs w:val="24"/>
        </w:rPr>
        <w:t>της τραπεζικής αργία</w:t>
      </w:r>
      <w:r>
        <w:rPr>
          <w:rFonts w:ascii="Times New Roman" w:hAnsi="Times New Roman" w:cs="Times New Roman"/>
          <w:sz w:val="24"/>
          <w:szCs w:val="24"/>
        </w:rPr>
        <w:t xml:space="preserve">ς. </w:t>
      </w:r>
    </w:p>
    <w:p w:rsidR="00C30346" w:rsidRDefault="00C30346" w:rsidP="00C3034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Ακολουθεί η παράθεση αναλυτικών δεδομένων και  η διαγραμματική παρουσίαση των αποτελεσμάτων της έρευνας, όπως και οι εκτιμήσεις των Εμπορικών Συλλόγων και των συμμετεχουσών στα Ανοικτά Κέντρα Εμπορίου επιχειρήσεων. </w:t>
      </w:r>
    </w:p>
    <w:p w:rsidR="007F099E" w:rsidRPr="005508CC" w:rsidRDefault="007F099E" w:rsidP="007F099E">
      <w:pPr>
        <w:pStyle w:val="ae"/>
        <w:jc w:val="both"/>
        <w:rPr>
          <w:rFonts w:ascii="Times New Roman" w:hAnsi="Times New Roman"/>
          <w:b/>
          <w:i/>
          <w:sz w:val="24"/>
          <w:szCs w:val="24"/>
          <w:u w:val="single"/>
        </w:rPr>
      </w:pPr>
    </w:p>
    <w:p w:rsidR="007F099E" w:rsidRPr="00C667D6" w:rsidRDefault="007F099E" w:rsidP="007F099E">
      <w:pPr>
        <w:pStyle w:val="ae"/>
        <w:jc w:val="both"/>
        <w:rPr>
          <w:rFonts w:ascii="Times New Roman" w:hAnsi="Times New Roman"/>
          <w:b/>
          <w:i/>
          <w:sz w:val="24"/>
          <w:szCs w:val="24"/>
          <w:u w:val="single"/>
        </w:rPr>
      </w:pPr>
      <w:r w:rsidRPr="00C667D6">
        <w:rPr>
          <w:rFonts w:ascii="Times New Roman" w:hAnsi="Times New Roman"/>
          <w:b/>
          <w:i/>
          <w:sz w:val="24"/>
          <w:szCs w:val="24"/>
          <w:u w:val="single"/>
        </w:rPr>
        <w:t>Εκπτώσεις</w:t>
      </w:r>
      <w:r w:rsidR="00242D90">
        <w:rPr>
          <w:rFonts w:ascii="Times New Roman" w:hAnsi="Times New Roman"/>
          <w:b/>
          <w:i/>
          <w:sz w:val="24"/>
          <w:szCs w:val="24"/>
          <w:u w:val="single"/>
        </w:rPr>
        <w:t xml:space="preserve">: </w:t>
      </w:r>
      <w:r w:rsidR="009C7E61">
        <w:rPr>
          <w:rFonts w:ascii="Times New Roman" w:hAnsi="Times New Roman"/>
          <w:b/>
          <w:i/>
          <w:sz w:val="24"/>
          <w:szCs w:val="24"/>
          <w:u w:val="single"/>
        </w:rPr>
        <w:t xml:space="preserve"> Στοιχεία Εμπορικών Επιχειρήσεων</w:t>
      </w:r>
    </w:p>
    <w:p w:rsidR="00FD66C7" w:rsidRDefault="00FD66C7" w:rsidP="007F099E">
      <w:pPr>
        <w:pStyle w:val="ae"/>
        <w:jc w:val="both"/>
        <w:rPr>
          <w:rFonts w:ascii="Times New Roman" w:hAnsi="Times New Roman"/>
          <w:sz w:val="24"/>
          <w:szCs w:val="24"/>
          <w:highlight w:val="cyan"/>
        </w:rPr>
      </w:pPr>
    </w:p>
    <w:p w:rsidR="007F099E" w:rsidRDefault="009C7E61" w:rsidP="007F099E">
      <w:pPr>
        <w:pStyle w:val="ae"/>
        <w:jc w:val="both"/>
        <w:rPr>
          <w:rFonts w:ascii="Times New Roman" w:hAnsi="Times New Roman"/>
          <w:sz w:val="24"/>
          <w:szCs w:val="24"/>
        </w:rPr>
      </w:pPr>
      <w:r w:rsidRPr="00FD66C7">
        <w:rPr>
          <w:rFonts w:ascii="Times New Roman" w:hAnsi="Times New Roman"/>
          <w:sz w:val="24"/>
          <w:szCs w:val="24"/>
        </w:rPr>
        <w:t>Στην πλειοψηφία</w:t>
      </w:r>
      <w:r w:rsidR="00364DC5" w:rsidRPr="00FD66C7">
        <w:rPr>
          <w:rFonts w:ascii="Times New Roman" w:hAnsi="Times New Roman"/>
          <w:sz w:val="24"/>
          <w:szCs w:val="24"/>
        </w:rPr>
        <w:t xml:space="preserve"> </w:t>
      </w:r>
      <w:r w:rsidRPr="00FD66C7">
        <w:rPr>
          <w:rFonts w:ascii="Times New Roman" w:hAnsi="Times New Roman"/>
          <w:sz w:val="24"/>
          <w:szCs w:val="24"/>
        </w:rPr>
        <w:t xml:space="preserve">των επιχειρήσεων </w:t>
      </w:r>
      <w:r w:rsidR="00364DC5" w:rsidRPr="00FD66C7">
        <w:rPr>
          <w:rFonts w:ascii="Times New Roman" w:hAnsi="Times New Roman"/>
          <w:sz w:val="24"/>
          <w:szCs w:val="24"/>
        </w:rPr>
        <w:t>(</w:t>
      </w:r>
      <w:r w:rsidRPr="00FD66C7">
        <w:rPr>
          <w:rFonts w:ascii="Times New Roman" w:hAnsi="Times New Roman"/>
          <w:sz w:val="24"/>
          <w:szCs w:val="24"/>
        </w:rPr>
        <w:t>60</w:t>
      </w:r>
      <w:r w:rsidR="00364DC5" w:rsidRPr="00FD66C7">
        <w:rPr>
          <w:rFonts w:ascii="Times New Roman" w:hAnsi="Times New Roman"/>
          <w:sz w:val="24"/>
          <w:szCs w:val="24"/>
        </w:rPr>
        <w:t xml:space="preserve">%) </w:t>
      </w:r>
      <w:r w:rsidR="00364DC5" w:rsidRPr="00242D90">
        <w:rPr>
          <w:rFonts w:ascii="Times New Roman" w:hAnsi="Times New Roman"/>
          <w:b/>
          <w:sz w:val="24"/>
          <w:szCs w:val="24"/>
        </w:rPr>
        <w:t>το ποσοστό της έκπτωσης</w:t>
      </w:r>
      <w:r w:rsidR="00364DC5" w:rsidRPr="00FD66C7">
        <w:rPr>
          <w:rFonts w:ascii="Times New Roman" w:hAnsi="Times New Roman"/>
          <w:sz w:val="24"/>
          <w:szCs w:val="24"/>
        </w:rPr>
        <w:t xml:space="preserve"> </w:t>
      </w:r>
      <w:r w:rsidR="007F099E" w:rsidRPr="00FD66C7">
        <w:rPr>
          <w:rFonts w:ascii="Times New Roman" w:hAnsi="Times New Roman"/>
          <w:sz w:val="24"/>
          <w:szCs w:val="24"/>
        </w:rPr>
        <w:t>κυμάνθηκε μεταξύ 2</w:t>
      </w:r>
      <w:r w:rsidRPr="00FD66C7">
        <w:rPr>
          <w:rFonts w:ascii="Times New Roman" w:hAnsi="Times New Roman"/>
          <w:sz w:val="24"/>
          <w:szCs w:val="24"/>
        </w:rPr>
        <w:t>1</w:t>
      </w:r>
      <w:r w:rsidR="007F099E" w:rsidRPr="00FD66C7">
        <w:rPr>
          <w:rFonts w:ascii="Times New Roman" w:hAnsi="Times New Roman"/>
          <w:sz w:val="24"/>
          <w:szCs w:val="24"/>
        </w:rPr>
        <w:t xml:space="preserve">% και 40%, </w:t>
      </w:r>
      <w:r w:rsidR="007833B3" w:rsidRPr="00FD66C7">
        <w:rPr>
          <w:rFonts w:ascii="Times New Roman" w:hAnsi="Times New Roman"/>
          <w:sz w:val="24"/>
          <w:szCs w:val="24"/>
        </w:rPr>
        <w:t>όταν την αντίστοιχη περυσινή περίοδο το αντίστοιχο ποσοστό ήταν κατά πολύ χαμηλότερο (39%). Παράλληλα, στη διάρκεια της</w:t>
      </w:r>
      <w:r w:rsidR="00FD66C7" w:rsidRPr="00FD66C7">
        <w:rPr>
          <w:rFonts w:ascii="Times New Roman" w:hAnsi="Times New Roman"/>
          <w:sz w:val="24"/>
          <w:szCs w:val="24"/>
        </w:rPr>
        <w:t xml:space="preserve"> </w:t>
      </w:r>
      <w:r w:rsidR="007833B3" w:rsidRPr="00FD66C7">
        <w:rPr>
          <w:rFonts w:ascii="Times New Roman" w:hAnsi="Times New Roman"/>
          <w:sz w:val="24"/>
          <w:szCs w:val="24"/>
        </w:rPr>
        <w:t xml:space="preserve">φετινής θερινής εκπτωτικής περιόδου </w:t>
      </w:r>
      <w:r w:rsidRPr="00FD66C7">
        <w:rPr>
          <w:rFonts w:ascii="Times New Roman" w:hAnsi="Times New Roman"/>
          <w:sz w:val="24"/>
          <w:szCs w:val="24"/>
        </w:rPr>
        <w:t xml:space="preserve">περίπου </w:t>
      </w:r>
      <w:r w:rsidR="007F099E" w:rsidRPr="00FD66C7">
        <w:rPr>
          <w:rFonts w:ascii="Times New Roman" w:hAnsi="Times New Roman"/>
          <w:sz w:val="24"/>
          <w:szCs w:val="24"/>
        </w:rPr>
        <w:t xml:space="preserve">μία στις </w:t>
      </w:r>
      <w:r w:rsidRPr="00FD66C7">
        <w:rPr>
          <w:rFonts w:ascii="Times New Roman" w:hAnsi="Times New Roman"/>
          <w:sz w:val="24"/>
          <w:szCs w:val="24"/>
        </w:rPr>
        <w:t>πέντε</w:t>
      </w:r>
      <w:r w:rsidR="007F099E" w:rsidRPr="00FD66C7">
        <w:rPr>
          <w:rFonts w:ascii="Times New Roman" w:hAnsi="Times New Roman"/>
          <w:sz w:val="24"/>
          <w:szCs w:val="24"/>
        </w:rPr>
        <w:t xml:space="preserve"> ε</w:t>
      </w:r>
      <w:r w:rsidR="00BB63AC" w:rsidRPr="00FD66C7">
        <w:rPr>
          <w:rFonts w:ascii="Times New Roman" w:hAnsi="Times New Roman"/>
          <w:sz w:val="24"/>
          <w:szCs w:val="24"/>
        </w:rPr>
        <w:t xml:space="preserve">πιχειρήσεις </w:t>
      </w:r>
      <w:r w:rsidRPr="00FD66C7">
        <w:rPr>
          <w:rFonts w:ascii="Times New Roman" w:hAnsi="Times New Roman"/>
          <w:sz w:val="24"/>
          <w:szCs w:val="24"/>
        </w:rPr>
        <w:t>πραγματοποίησε</w:t>
      </w:r>
      <w:r w:rsidR="00BB63AC" w:rsidRPr="00FD66C7">
        <w:rPr>
          <w:rFonts w:ascii="Times New Roman" w:hAnsi="Times New Roman"/>
          <w:sz w:val="24"/>
          <w:szCs w:val="24"/>
        </w:rPr>
        <w:t xml:space="preserve"> πωλήσεις με ποσοστό έκπτωσης</w:t>
      </w:r>
      <w:r w:rsidR="007F099E" w:rsidRPr="00FD66C7">
        <w:rPr>
          <w:rFonts w:ascii="Times New Roman" w:hAnsi="Times New Roman"/>
          <w:sz w:val="24"/>
          <w:szCs w:val="24"/>
        </w:rPr>
        <w:t xml:space="preserve"> άνω του 40%</w:t>
      </w:r>
      <w:r w:rsidR="007833B3" w:rsidRPr="00FD66C7">
        <w:rPr>
          <w:rFonts w:ascii="Times New Roman" w:hAnsi="Times New Roman"/>
          <w:sz w:val="24"/>
          <w:szCs w:val="24"/>
        </w:rPr>
        <w:t xml:space="preserve">, όταν πέρυσι στην αντίστοιχη επιλογή οδηγούνταν μία στις </w:t>
      </w:r>
      <w:r w:rsidR="00FD66C7" w:rsidRPr="00FD66C7">
        <w:rPr>
          <w:rFonts w:ascii="Times New Roman" w:hAnsi="Times New Roman"/>
          <w:sz w:val="24"/>
          <w:szCs w:val="24"/>
        </w:rPr>
        <w:t>τρεις</w:t>
      </w:r>
      <w:r w:rsidR="007833B3" w:rsidRPr="00FD66C7">
        <w:rPr>
          <w:rFonts w:ascii="Times New Roman" w:hAnsi="Times New Roman"/>
          <w:sz w:val="24"/>
          <w:szCs w:val="24"/>
        </w:rPr>
        <w:t xml:space="preserve"> επιχειρήσεις.</w:t>
      </w:r>
      <w:r w:rsidR="007833B3">
        <w:rPr>
          <w:rFonts w:ascii="Times New Roman" w:hAnsi="Times New Roman"/>
          <w:sz w:val="24"/>
          <w:szCs w:val="24"/>
        </w:rPr>
        <w:t xml:space="preserve">  </w:t>
      </w:r>
    </w:p>
    <w:p w:rsidR="00E67A81" w:rsidRDefault="00E67A81" w:rsidP="007F099E">
      <w:pPr>
        <w:pStyle w:val="ae"/>
        <w:jc w:val="both"/>
        <w:rPr>
          <w:rFonts w:ascii="Times New Roman" w:hAnsi="Times New Roman"/>
          <w:sz w:val="24"/>
          <w:szCs w:val="24"/>
        </w:rPr>
      </w:pPr>
    </w:p>
    <w:p w:rsidR="00E67A81" w:rsidRDefault="00E67A81" w:rsidP="007F099E">
      <w:pPr>
        <w:pStyle w:val="ae"/>
        <w:jc w:val="both"/>
        <w:rPr>
          <w:rFonts w:ascii="Times New Roman" w:hAnsi="Times New Roman"/>
          <w:sz w:val="24"/>
          <w:szCs w:val="24"/>
        </w:rPr>
      </w:pPr>
    </w:p>
    <w:p w:rsidR="00E67A81" w:rsidRDefault="00E67A81" w:rsidP="007F099E">
      <w:pPr>
        <w:pStyle w:val="ae"/>
        <w:jc w:val="both"/>
        <w:rPr>
          <w:rFonts w:ascii="Times New Roman" w:hAnsi="Times New Roman"/>
          <w:sz w:val="24"/>
          <w:szCs w:val="24"/>
        </w:rPr>
      </w:pPr>
    </w:p>
    <w:p w:rsidR="00E67A81" w:rsidRDefault="00E67A81" w:rsidP="007F099E">
      <w:pPr>
        <w:pStyle w:val="ae"/>
        <w:jc w:val="both"/>
        <w:rPr>
          <w:rFonts w:ascii="Times New Roman" w:hAnsi="Times New Roman"/>
          <w:sz w:val="24"/>
          <w:szCs w:val="24"/>
        </w:rPr>
      </w:pPr>
    </w:p>
    <w:p w:rsidR="00E67A81" w:rsidRDefault="00E67A81" w:rsidP="007F099E">
      <w:pPr>
        <w:pStyle w:val="ae"/>
        <w:jc w:val="both"/>
        <w:rPr>
          <w:rFonts w:ascii="Times New Roman" w:hAnsi="Times New Roman"/>
          <w:sz w:val="24"/>
          <w:szCs w:val="24"/>
        </w:rPr>
      </w:pPr>
    </w:p>
    <w:p w:rsidR="00E67A81" w:rsidRDefault="00E67A81" w:rsidP="007F099E">
      <w:pPr>
        <w:pStyle w:val="ae"/>
        <w:jc w:val="both"/>
        <w:rPr>
          <w:rFonts w:ascii="Times New Roman" w:hAnsi="Times New Roman"/>
          <w:sz w:val="24"/>
          <w:szCs w:val="24"/>
        </w:rPr>
      </w:pPr>
    </w:p>
    <w:p w:rsidR="00E67A81" w:rsidRDefault="00E67A81" w:rsidP="007F099E">
      <w:pPr>
        <w:pStyle w:val="ae"/>
        <w:jc w:val="both"/>
        <w:rPr>
          <w:rFonts w:ascii="Times New Roman" w:hAnsi="Times New Roman"/>
          <w:sz w:val="24"/>
          <w:szCs w:val="24"/>
        </w:rPr>
      </w:pPr>
    </w:p>
    <w:p w:rsidR="00E67A81" w:rsidRDefault="00E67A81" w:rsidP="007F099E">
      <w:pPr>
        <w:pStyle w:val="ae"/>
        <w:jc w:val="both"/>
        <w:rPr>
          <w:rFonts w:ascii="Times New Roman" w:hAnsi="Times New Roman"/>
          <w:sz w:val="24"/>
          <w:szCs w:val="24"/>
        </w:rPr>
      </w:pPr>
    </w:p>
    <w:p w:rsidR="00E67A81" w:rsidRDefault="00E67A81" w:rsidP="007F099E">
      <w:pPr>
        <w:pStyle w:val="ae"/>
        <w:jc w:val="both"/>
        <w:rPr>
          <w:rFonts w:ascii="Times New Roman" w:hAnsi="Times New Roman"/>
          <w:sz w:val="24"/>
          <w:szCs w:val="24"/>
        </w:rPr>
      </w:pPr>
    </w:p>
    <w:p w:rsidR="007F099E" w:rsidRDefault="00E67A81" w:rsidP="007F099E">
      <w:pPr>
        <w:pStyle w:val="ae"/>
        <w:jc w:val="both"/>
        <w:rPr>
          <w:rFonts w:ascii="Times New Roman" w:hAnsi="Times New Roman"/>
          <w:noProof/>
          <w:sz w:val="25"/>
          <w:szCs w:val="25"/>
          <w:lang w:eastAsia="el-GR"/>
        </w:rPr>
      </w:pPr>
      <w:r w:rsidRPr="00E67A81">
        <w:rPr>
          <w:rFonts w:ascii="Times New Roman" w:hAnsi="Times New Roman"/>
          <w:noProof/>
          <w:sz w:val="25"/>
          <w:szCs w:val="25"/>
          <w:lang w:eastAsia="el-GR"/>
        </w:rPr>
        <w:drawing>
          <wp:inline distT="0" distB="0" distL="0" distR="0">
            <wp:extent cx="5337810" cy="1990725"/>
            <wp:effectExtent l="19050" t="0" r="15240" b="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7A81" w:rsidRDefault="00E67A81" w:rsidP="007F099E">
      <w:pPr>
        <w:pStyle w:val="ae"/>
        <w:jc w:val="both"/>
        <w:rPr>
          <w:rFonts w:ascii="Times New Roman" w:hAnsi="Times New Roman"/>
          <w:noProof/>
          <w:sz w:val="25"/>
          <w:szCs w:val="25"/>
          <w:lang w:eastAsia="el-GR"/>
        </w:rPr>
      </w:pPr>
    </w:p>
    <w:p w:rsidR="00BB63AC" w:rsidRDefault="00BB63AC" w:rsidP="007F099E">
      <w:pPr>
        <w:pStyle w:val="ae"/>
        <w:jc w:val="both"/>
        <w:rPr>
          <w:rFonts w:ascii="Times New Roman" w:hAnsi="Times New Roman"/>
          <w:sz w:val="25"/>
          <w:szCs w:val="25"/>
        </w:rPr>
      </w:pPr>
    </w:p>
    <w:p w:rsidR="00BB63AC" w:rsidRPr="00877433" w:rsidRDefault="00BB63AC" w:rsidP="00BB63AC">
      <w:pPr>
        <w:pStyle w:val="ae"/>
        <w:jc w:val="both"/>
        <w:rPr>
          <w:rFonts w:ascii="Times New Roman" w:hAnsi="Times New Roman"/>
          <w:sz w:val="24"/>
          <w:szCs w:val="24"/>
        </w:rPr>
      </w:pPr>
      <w:r w:rsidRPr="00877433">
        <w:rPr>
          <w:rFonts w:ascii="Times New Roman" w:hAnsi="Times New Roman"/>
          <w:sz w:val="24"/>
          <w:szCs w:val="24"/>
        </w:rPr>
        <w:t xml:space="preserve">Όσον αφορά </w:t>
      </w:r>
      <w:r w:rsidR="007833B3" w:rsidRPr="00877433">
        <w:rPr>
          <w:rFonts w:ascii="Times New Roman" w:hAnsi="Times New Roman"/>
          <w:sz w:val="24"/>
          <w:szCs w:val="24"/>
        </w:rPr>
        <w:t>σ</w:t>
      </w:r>
      <w:r w:rsidRPr="00877433">
        <w:rPr>
          <w:rFonts w:ascii="Times New Roman" w:hAnsi="Times New Roman"/>
          <w:sz w:val="24"/>
          <w:szCs w:val="24"/>
        </w:rPr>
        <w:t>την εξέλιξη των πωλήσεων διαπιστώθηκε</w:t>
      </w:r>
      <w:r w:rsidR="007833B3" w:rsidRPr="00877433">
        <w:rPr>
          <w:rFonts w:ascii="Times New Roman" w:hAnsi="Times New Roman"/>
          <w:sz w:val="24"/>
          <w:szCs w:val="24"/>
        </w:rPr>
        <w:t xml:space="preserve"> </w:t>
      </w:r>
      <w:r w:rsidR="00347B06" w:rsidRPr="00877433">
        <w:rPr>
          <w:rFonts w:ascii="Times New Roman" w:hAnsi="Times New Roman"/>
          <w:sz w:val="24"/>
          <w:szCs w:val="24"/>
        </w:rPr>
        <w:t>ότι</w:t>
      </w:r>
      <w:r w:rsidR="007833B3" w:rsidRPr="00877433">
        <w:rPr>
          <w:rFonts w:ascii="Times New Roman" w:hAnsi="Times New Roman"/>
          <w:sz w:val="24"/>
          <w:szCs w:val="24"/>
        </w:rPr>
        <w:t xml:space="preserve"> πάνω από μία στις δύο επιχειρήσεις (53%) εμφάνισε </w:t>
      </w:r>
      <w:r w:rsidR="00055B89" w:rsidRPr="00877433">
        <w:rPr>
          <w:rFonts w:ascii="Times New Roman" w:hAnsi="Times New Roman"/>
          <w:sz w:val="24"/>
          <w:szCs w:val="24"/>
        </w:rPr>
        <w:t>υποχώρηση</w:t>
      </w:r>
      <w:r w:rsidRPr="00877433">
        <w:rPr>
          <w:rFonts w:ascii="Times New Roman" w:hAnsi="Times New Roman"/>
          <w:sz w:val="24"/>
          <w:szCs w:val="24"/>
        </w:rPr>
        <w:t xml:space="preserve"> </w:t>
      </w:r>
      <w:r w:rsidR="00242D90">
        <w:rPr>
          <w:rFonts w:ascii="Times New Roman" w:hAnsi="Times New Roman"/>
          <w:sz w:val="24"/>
          <w:szCs w:val="24"/>
        </w:rPr>
        <w:t xml:space="preserve">στις πωλήσεις </w:t>
      </w:r>
      <w:r w:rsidRPr="00877433">
        <w:rPr>
          <w:rFonts w:ascii="Times New Roman" w:hAnsi="Times New Roman"/>
          <w:sz w:val="24"/>
          <w:szCs w:val="24"/>
        </w:rPr>
        <w:t>σε σύγκριση με το 2015</w:t>
      </w:r>
      <w:r w:rsidR="00347B06" w:rsidRPr="00877433">
        <w:rPr>
          <w:rFonts w:ascii="Times New Roman" w:hAnsi="Times New Roman"/>
          <w:sz w:val="24"/>
          <w:szCs w:val="24"/>
        </w:rPr>
        <w:t>, ενώ στασιμότητα δήλωσε το 1</w:t>
      </w:r>
      <w:r w:rsidR="00242D90">
        <w:rPr>
          <w:rFonts w:ascii="Times New Roman" w:hAnsi="Times New Roman"/>
          <w:sz w:val="24"/>
          <w:szCs w:val="24"/>
        </w:rPr>
        <w:t>/3</w:t>
      </w:r>
      <w:bookmarkStart w:id="0" w:name="_GoBack"/>
      <w:bookmarkEnd w:id="0"/>
      <w:r w:rsidR="00347B06" w:rsidRPr="00877433">
        <w:rPr>
          <w:rFonts w:ascii="Times New Roman" w:hAnsi="Times New Roman"/>
          <w:sz w:val="24"/>
          <w:szCs w:val="24"/>
        </w:rPr>
        <w:t>.</w:t>
      </w:r>
      <w:r w:rsidR="00055B89" w:rsidRPr="00877433">
        <w:rPr>
          <w:rFonts w:ascii="Times New Roman" w:hAnsi="Times New Roman"/>
          <w:sz w:val="24"/>
          <w:szCs w:val="24"/>
        </w:rPr>
        <w:t xml:space="preserve"> Μπορεί ο ρυθμός υποχώρησης της εμπορικής κίνησης να είναι μικρότερος από εκείνον της περιόδου Ιουλίου – Αυγούστου 2015 (80%), δεν θα πρέπει όμως να λησμονείται το γεγονός πως τη συγκεκριμένη χρονική περίοδο τέθηκε σε εφαρμογή ο </w:t>
      </w:r>
      <w:r w:rsidR="00FD66C7">
        <w:rPr>
          <w:rFonts w:ascii="Times New Roman" w:hAnsi="Times New Roman"/>
          <w:sz w:val="24"/>
          <w:szCs w:val="24"/>
        </w:rPr>
        <w:t>πρωτόγνωρος</w:t>
      </w:r>
      <w:r w:rsidR="00055B89" w:rsidRPr="00877433">
        <w:rPr>
          <w:rFonts w:ascii="Times New Roman" w:hAnsi="Times New Roman"/>
          <w:sz w:val="24"/>
          <w:szCs w:val="24"/>
        </w:rPr>
        <w:t>, για τα ελληνικά δεδομένα, περιορισμός στην κίνηση κεφαλαίων (</w:t>
      </w:r>
      <w:r w:rsidR="00055B89" w:rsidRPr="00877433">
        <w:rPr>
          <w:rFonts w:ascii="Times New Roman" w:hAnsi="Times New Roman"/>
          <w:sz w:val="24"/>
          <w:szCs w:val="24"/>
          <w:lang w:val="en-US"/>
        </w:rPr>
        <w:t>Capital</w:t>
      </w:r>
      <w:r w:rsidR="00055B89" w:rsidRPr="00877433">
        <w:rPr>
          <w:rFonts w:ascii="Times New Roman" w:hAnsi="Times New Roman"/>
          <w:sz w:val="24"/>
          <w:szCs w:val="24"/>
        </w:rPr>
        <w:t xml:space="preserve"> </w:t>
      </w:r>
      <w:r w:rsidR="00055B89" w:rsidRPr="00877433">
        <w:rPr>
          <w:rFonts w:ascii="Times New Roman" w:hAnsi="Times New Roman"/>
          <w:sz w:val="24"/>
          <w:szCs w:val="24"/>
          <w:lang w:val="en-US"/>
        </w:rPr>
        <w:t>Controls</w:t>
      </w:r>
      <w:r w:rsidR="00055B89" w:rsidRPr="00877433">
        <w:rPr>
          <w:rFonts w:ascii="Times New Roman" w:hAnsi="Times New Roman"/>
          <w:sz w:val="24"/>
          <w:szCs w:val="24"/>
        </w:rPr>
        <w:t>) και η επιβολή της τραπεζικής αργίας.</w:t>
      </w:r>
      <w:r w:rsidR="00877433" w:rsidRPr="00877433">
        <w:rPr>
          <w:rFonts w:ascii="Times New Roman" w:hAnsi="Times New Roman"/>
          <w:sz w:val="24"/>
          <w:szCs w:val="24"/>
        </w:rPr>
        <w:t xml:space="preserve"> </w:t>
      </w:r>
      <w:r w:rsidR="00347B06" w:rsidRPr="00877433">
        <w:rPr>
          <w:rFonts w:ascii="Times New Roman" w:hAnsi="Times New Roman"/>
          <w:sz w:val="24"/>
          <w:szCs w:val="24"/>
        </w:rPr>
        <w:t>Αντίθετα,</w:t>
      </w:r>
      <w:r w:rsidRPr="00877433">
        <w:rPr>
          <w:rFonts w:ascii="Times New Roman" w:hAnsi="Times New Roman"/>
          <w:sz w:val="24"/>
          <w:szCs w:val="24"/>
        </w:rPr>
        <w:t xml:space="preserve"> το ποσοστό αυτών που δήλωσαν ότι οι εκπτώσεις του 2016 ήταν καλύτερες σε σύγκριση με την περσινή περίοδο </w:t>
      </w:r>
      <w:r w:rsidR="00347B06" w:rsidRPr="00877433">
        <w:rPr>
          <w:rFonts w:ascii="Times New Roman" w:hAnsi="Times New Roman"/>
          <w:sz w:val="24"/>
          <w:szCs w:val="24"/>
        </w:rPr>
        <w:t>ανέρχεται στο 14%</w:t>
      </w:r>
      <w:r w:rsidR="00877433" w:rsidRPr="00877433">
        <w:rPr>
          <w:rFonts w:ascii="Times New Roman" w:hAnsi="Times New Roman"/>
          <w:sz w:val="24"/>
          <w:szCs w:val="24"/>
        </w:rPr>
        <w:t xml:space="preserve"> (5% στις θερινές εκπτώσεις του 2015)</w:t>
      </w:r>
      <w:r w:rsidRPr="00877433">
        <w:rPr>
          <w:rFonts w:ascii="Times New Roman" w:hAnsi="Times New Roman"/>
          <w:sz w:val="24"/>
          <w:szCs w:val="24"/>
        </w:rPr>
        <w:t xml:space="preserve">. </w:t>
      </w:r>
    </w:p>
    <w:p w:rsidR="007F099E" w:rsidRPr="00BB63AC" w:rsidRDefault="007F099E" w:rsidP="007F099E">
      <w:pPr>
        <w:pStyle w:val="ae"/>
        <w:spacing w:before="80" w:line="360" w:lineRule="atLeast"/>
        <w:jc w:val="both"/>
        <w:rPr>
          <w:rFonts w:ascii="Times New Roman" w:hAnsi="Times New Roman"/>
          <w:sz w:val="24"/>
          <w:szCs w:val="24"/>
        </w:rPr>
      </w:pPr>
    </w:p>
    <w:p w:rsidR="007F099E" w:rsidRDefault="00E67A81" w:rsidP="007F099E">
      <w:pPr>
        <w:pStyle w:val="ae"/>
        <w:spacing w:before="80" w:line="360" w:lineRule="atLeast"/>
        <w:jc w:val="both"/>
        <w:rPr>
          <w:rFonts w:ascii="Times New Roman" w:hAnsi="Times New Roman"/>
          <w:noProof/>
          <w:sz w:val="24"/>
          <w:szCs w:val="24"/>
          <w:lang w:eastAsia="el-GR"/>
        </w:rPr>
      </w:pPr>
      <w:r w:rsidRPr="00E67A81">
        <w:rPr>
          <w:rFonts w:ascii="Times New Roman" w:hAnsi="Times New Roman"/>
          <w:noProof/>
          <w:sz w:val="24"/>
          <w:szCs w:val="24"/>
          <w:lang w:eastAsia="el-GR"/>
        </w:rPr>
        <w:drawing>
          <wp:inline distT="0" distB="0" distL="0" distR="0">
            <wp:extent cx="5337810" cy="2874633"/>
            <wp:effectExtent l="19050" t="0" r="15240" b="1917"/>
            <wp:docPr id="12" name="Γράφημα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7A81" w:rsidRDefault="00E67A81" w:rsidP="007F099E">
      <w:pPr>
        <w:pStyle w:val="ae"/>
        <w:spacing w:before="80" w:line="360" w:lineRule="atLeast"/>
        <w:jc w:val="both"/>
        <w:rPr>
          <w:rFonts w:ascii="Times New Roman" w:hAnsi="Times New Roman"/>
          <w:sz w:val="24"/>
          <w:szCs w:val="24"/>
        </w:rPr>
      </w:pPr>
    </w:p>
    <w:p w:rsidR="00347B06" w:rsidRDefault="00347B06" w:rsidP="00BB63AC">
      <w:pPr>
        <w:pStyle w:val="ae"/>
        <w:jc w:val="both"/>
        <w:rPr>
          <w:rFonts w:ascii="Times New Roman" w:hAnsi="Times New Roman"/>
          <w:sz w:val="24"/>
          <w:szCs w:val="24"/>
          <w:highlight w:val="yellow"/>
        </w:rPr>
      </w:pPr>
    </w:p>
    <w:p w:rsidR="00877433" w:rsidRPr="00FD66C7" w:rsidRDefault="00BB63AC" w:rsidP="00BB63AC">
      <w:pPr>
        <w:pStyle w:val="ae"/>
        <w:jc w:val="both"/>
        <w:rPr>
          <w:rFonts w:ascii="Times New Roman" w:hAnsi="Times New Roman"/>
          <w:sz w:val="24"/>
          <w:szCs w:val="24"/>
        </w:rPr>
      </w:pPr>
      <w:r w:rsidRPr="00FD66C7">
        <w:rPr>
          <w:rFonts w:ascii="Times New Roman" w:hAnsi="Times New Roman"/>
          <w:sz w:val="24"/>
          <w:szCs w:val="24"/>
        </w:rPr>
        <w:t xml:space="preserve">Οι μεταβολές του ποσοστού μείωσης των πωλήσεων σε σύγκριση με το προηγούμενο έτος </w:t>
      </w:r>
      <w:r w:rsidR="00877433" w:rsidRPr="00FD66C7">
        <w:rPr>
          <w:rFonts w:ascii="Times New Roman" w:hAnsi="Times New Roman"/>
          <w:sz w:val="24"/>
          <w:szCs w:val="24"/>
        </w:rPr>
        <w:t>καταγράφουν σημαντική διαφοροποίηση</w:t>
      </w:r>
      <w:r w:rsidRPr="00FD66C7">
        <w:rPr>
          <w:rFonts w:ascii="Times New Roman" w:hAnsi="Times New Roman"/>
          <w:sz w:val="24"/>
          <w:szCs w:val="24"/>
        </w:rPr>
        <w:t xml:space="preserve">. </w:t>
      </w:r>
      <w:r w:rsidR="00877433" w:rsidRPr="00FD66C7">
        <w:rPr>
          <w:rFonts w:ascii="Times New Roman" w:hAnsi="Times New Roman"/>
          <w:sz w:val="24"/>
          <w:szCs w:val="24"/>
        </w:rPr>
        <w:t xml:space="preserve">Συρρίκνωση 11 - 20% εμφάνισε το μεγαλύτερο μέρος  των επιχειρήσεων του δείγματος </w:t>
      </w:r>
      <w:r w:rsidR="004A3235" w:rsidRPr="00FD66C7">
        <w:rPr>
          <w:rFonts w:ascii="Times New Roman" w:hAnsi="Times New Roman"/>
          <w:sz w:val="24"/>
          <w:szCs w:val="24"/>
        </w:rPr>
        <w:t>(</w:t>
      </w:r>
      <w:r w:rsidR="00877433" w:rsidRPr="00FD66C7">
        <w:rPr>
          <w:rFonts w:ascii="Times New Roman" w:hAnsi="Times New Roman"/>
          <w:sz w:val="24"/>
          <w:szCs w:val="24"/>
        </w:rPr>
        <w:t>35%</w:t>
      </w:r>
      <w:r w:rsidR="004A3235" w:rsidRPr="00FD66C7">
        <w:rPr>
          <w:rFonts w:ascii="Times New Roman" w:hAnsi="Times New Roman"/>
          <w:sz w:val="24"/>
          <w:szCs w:val="24"/>
        </w:rPr>
        <w:t xml:space="preserve"> - 13% το 2015), τη στιγμή που την αντίστοιχη περσινή περίοδο η πλειονότητα των συμμετεχόντων</w:t>
      </w:r>
      <w:r w:rsidR="00060AEF">
        <w:rPr>
          <w:rFonts w:ascii="Times New Roman" w:hAnsi="Times New Roman"/>
          <w:sz w:val="24"/>
          <w:szCs w:val="24"/>
        </w:rPr>
        <w:t xml:space="preserve"> (36%)</w:t>
      </w:r>
      <w:r w:rsidR="004A3235" w:rsidRPr="00FD66C7">
        <w:rPr>
          <w:rFonts w:ascii="Times New Roman" w:hAnsi="Times New Roman"/>
          <w:sz w:val="24"/>
          <w:szCs w:val="24"/>
        </w:rPr>
        <w:t xml:space="preserve"> είχε δηλώσει μείωση άνω του 41%.</w:t>
      </w:r>
    </w:p>
    <w:p w:rsidR="00877433" w:rsidRDefault="00877433" w:rsidP="00BB63AC">
      <w:pPr>
        <w:pStyle w:val="ae"/>
        <w:jc w:val="both"/>
        <w:rPr>
          <w:rFonts w:ascii="Times New Roman" w:hAnsi="Times New Roman"/>
          <w:sz w:val="24"/>
          <w:szCs w:val="24"/>
          <w:highlight w:val="yellow"/>
        </w:rPr>
      </w:pPr>
    </w:p>
    <w:p w:rsidR="00E67A81" w:rsidRDefault="00E67A81" w:rsidP="00BB63AC">
      <w:pPr>
        <w:pStyle w:val="ae"/>
        <w:jc w:val="both"/>
        <w:rPr>
          <w:rFonts w:ascii="Times New Roman" w:hAnsi="Times New Roman"/>
          <w:sz w:val="24"/>
          <w:szCs w:val="24"/>
        </w:rPr>
      </w:pPr>
    </w:p>
    <w:p w:rsidR="00E67A81" w:rsidRDefault="00E67A81" w:rsidP="00BB63AC">
      <w:pPr>
        <w:pStyle w:val="ae"/>
        <w:jc w:val="both"/>
        <w:rPr>
          <w:rFonts w:ascii="Times New Roman" w:hAnsi="Times New Roman"/>
          <w:sz w:val="24"/>
          <w:szCs w:val="24"/>
        </w:rPr>
      </w:pPr>
      <w:r w:rsidRPr="00E67A81">
        <w:rPr>
          <w:rFonts w:ascii="Times New Roman" w:hAnsi="Times New Roman"/>
          <w:noProof/>
          <w:sz w:val="24"/>
          <w:szCs w:val="24"/>
          <w:lang w:eastAsia="el-GR"/>
        </w:rPr>
        <w:drawing>
          <wp:inline distT="0" distB="0" distL="0" distR="0">
            <wp:extent cx="5337810" cy="2700413"/>
            <wp:effectExtent l="19050" t="0" r="15240" b="4687"/>
            <wp:docPr id="13"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7A81" w:rsidRDefault="00E67A81" w:rsidP="00BB63AC">
      <w:pPr>
        <w:pStyle w:val="ae"/>
        <w:jc w:val="both"/>
        <w:rPr>
          <w:rFonts w:ascii="Times New Roman" w:hAnsi="Times New Roman"/>
          <w:sz w:val="24"/>
          <w:szCs w:val="24"/>
        </w:rPr>
      </w:pPr>
    </w:p>
    <w:p w:rsidR="00BB63AC" w:rsidRDefault="00BB63AC" w:rsidP="007F099E">
      <w:pPr>
        <w:pStyle w:val="ae"/>
        <w:jc w:val="both"/>
        <w:rPr>
          <w:rFonts w:ascii="Times New Roman" w:hAnsi="Times New Roman"/>
          <w:sz w:val="24"/>
          <w:szCs w:val="24"/>
        </w:rPr>
      </w:pPr>
    </w:p>
    <w:p w:rsidR="004A3235" w:rsidRPr="00060AEF" w:rsidRDefault="007F099E" w:rsidP="007F099E">
      <w:pPr>
        <w:pStyle w:val="ae"/>
        <w:jc w:val="both"/>
        <w:rPr>
          <w:rFonts w:ascii="Times New Roman" w:hAnsi="Times New Roman"/>
          <w:sz w:val="24"/>
          <w:szCs w:val="24"/>
        </w:rPr>
      </w:pPr>
      <w:r w:rsidRPr="00060AEF">
        <w:rPr>
          <w:rFonts w:ascii="Times New Roman" w:hAnsi="Times New Roman"/>
          <w:sz w:val="24"/>
          <w:szCs w:val="24"/>
        </w:rPr>
        <w:t>Ο</w:t>
      </w:r>
      <w:r w:rsidR="00BB63AC" w:rsidRPr="00060AEF">
        <w:rPr>
          <w:rFonts w:ascii="Times New Roman" w:hAnsi="Times New Roman"/>
          <w:sz w:val="24"/>
          <w:szCs w:val="24"/>
        </w:rPr>
        <w:t xml:space="preserve">ι έμποροι </w:t>
      </w:r>
      <w:r w:rsidRPr="00060AEF">
        <w:rPr>
          <w:rFonts w:ascii="Times New Roman" w:hAnsi="Times New Roman"/>
          <w:sz w:val="24"/>
          <w:szCs w:val="24"/>
        </w:rPr>
        <w:t xml:space="preserve">σε ποσοστό </w:t>
      </w:r>
      <w:r w:rsidR="004A3235" w:rsidRPr="00060AEF">
        <w:rPr>
          <w:rFonts w:ascii="Times New Roman" w:hAnsi="Times New Roman"/>
          <w:sz w:val="24"/>
          <w:szCs w:val="24"/>
        </w:rPr>
        <w:t>57,2</w:t>
      </w:r>
      <w:r w:rsidRPr="00060AEF">
        <w:rPr>
          <w:rFonts w:ascii="Times New Roman" w:hAnsi="Times New Roman"/>
          <w:sz w:val="24"/>
          <w:szCs w:val="24"/>
        </w:rPr>
        <w:t xml:space="preserve">%, δήλωσαν ότι η καλύτερη περίοδος των </w:t>
      </w:r>
      <w:r w:rsidR="004A3235" w:rsidRPr="00060AEF">
        <w:rPr>
          <w:rFonts w:ascii="Times New Roman" w:hAnsi="Times New Roman"/>
          <w:sz w:val="24"/>
          <w:szCs w:val="24"/>
        </w:rPr>
        <w:t>θερινών</w:t>
      </w:r>
      <w:r w:rsidRPr="00060AEF">
        <w:rPr>
          <w:rFonts w:ascii="Times New Roman" w:hAnsi="Times New Roman"/>
          <w:sz w:val="24"/>
          <w:szCs w:val="24"/>
        </w:rPr>
        <w:t xml:space="preserve"> εκπτώσεων ήταν από τις </w:t>
      </w:r>
      <w:r w:rsidR="004A3235" w:rsidRPr="00060AEF">
        <w:rPr>
          <w:rFonts w:ascii="Times New Roman" w:hAnsi="Times New Roman"/>
          <w:sz w:val="24"/>
          <w:szCs w:val="24"/>
        </w:rPr>
        <w:t>11</w:t>
      </w:r>
      <w:r w:rsidRPr="00060AEF">
        <w:rPr>
          <w:rFonts w:ascii="Times New Roman" w:hAnsi="Times New Roman"/>
          <w:sz w:val="24"/>
          <w:szCs w:val="24"/>
        </w:rPr>
        <w:t>/</w:t>
      </w:r>
      <w:r w:rsidR="004A3235" w:rsidRPr="00060AEF">
        <w:rPr>
          <w:rFonts w:ascii="Times New Roman" w:hAnsi="Times New Roman"/>
          <w:sz w:val="24"/>
          <w:szCs w:val="24"/>
        </w:rPr>
        <w:t>7</w:t>
      </w:r>
      <w:r w:rsidRPr="00060AEF">
        <w:rPr>
          <w:rFonts w:ascii="Times New Roman" w:hAnsi="Times New Roman"/>
          <w:sz w:val="24"/>
          <w:szCs w:val="24"/>
        </w:rPr>
        <w:t>/2016 έως 3</w:t>
      </w:r>
      <w:r w:rsidR="00060AEF" w:rsidRPr="00060AEF">
        <w:rPr>
          <w:rFonts w:ascii="Times New Roman" w:hAnsi="Times New Roman"/>
          <w:sz w:val="24"/>
          <w:szCs w:val="24"/>
        </w:rPr>
        <w:t>0</w:t>
      </w:r>
      <w:r w:rsidRPr="00060AEF">
        <w:rPr>
          <w:rFonts w:ascii="Times New Roman" w:hAnsi="Times New Roman"/>
          <w:sz w:val="24"/>
          <w:szCs w:val="24"/>
        </w:rPr>
        <w:t>/</w:t>
      </w:r>
      <w:r w:rsidR="004A3235" w:rsidRPr="00060AEF">
        <w:rPr>
          <w:rFonts w:ascii="Times New Roman" w:hAnsi="Times New Roman"/>
          <w:sz w:val="24"/>
          <w:szCs w:val="24"/>
        </w:rPr>
        <w:t>7</w:t>
      </w:r>
      <w:r w:rsidRPr="00060AEF">
        <w:rPr>
          <w:rFonts w:ascii="Times New Roman" w:hAnsi="Times New Roman"/>
          <w:sz w:val="24"/>
          <w:szCs w:val="24"/>
        </w:rPr>
        <w:t xml:space="preserve">/2016, </w:t>
      </w:r>
      <w:r w:rsidR="004A3235" w:rsidRPr="00060AEF">
        <w:rPr>
          <w:rFonts w:ascii="Times New Roman" w:hAnsi="Times New Roman"/>
          <w:sz w:val="24"/>
          <w:szCs w:val="24"/>
        </w:rPr>
        <w:t>ακολουθούμενη</w:t>
      </w:r>
      <w:r w:rsidRPr="00060AEF">
        <w:rPr>
          <w:rFonts w:ascii="Times New Roman" w:hAnsi="Times New Roman"/>
          <w:sz w:val="24"/>
          <w:szCs w:val="24"/>
        </w:rPr>
        <w:t xml:space="preserve"> </w:t>
      </w:r>
      <w:r w:rsidR="004A3235" w:rsidRPr="00060AEF">
        <w:rPr>
          <w:rFonts w:ascii="Times New Roman" w:hAnsi="Times New Roman"/>
          <w:sz w:val="24"/>
          <w:szCs w:val="24"/>
        </w:rPr>
        <w:t>από την</w:t>
      </w:r>
      <w:r w:rsidRPr="00060AEF">
        <w:rPr>
          <w:rFonts w:ascii="Times New Roman" w:hAnsi="Times New Roman"/>
          <w:sz w:val="24"/>
          <w:szCs w:val="24"/>
        </w:rPr>
        <w:t xml:space="preserve"> περίοδο 1/</w:t>
      </w:r>
      <w:r w:rsidR="004A3235" w:rsidRPr="00060AEF">
        <w:rPr>
          <w:rFonts w:ascii="Times New Roman" w:hAnsi="Times New Roman"/>
          <w:sz w:val="24"/>
          <w:szCs w:val="24"/>
        </w:rPr>
        <w:t>8</w:t>
      </w:r>
      <w:r w:rsidRPr="00060AEF">
        <w:rPr>
          <w:rFonts w:ascii="Times New Roman" w:hAnsi="Times New Roman"/>
          <w:sz w:val="24"/>
          <w:szCs w:val="24"/>
        </w:rPr>
        <w:t>/2016 έως 1</w:t>
      </w:r>
      <w:r w:rsidR="004A3235" w:rsidRPr="00060AEF">
        <w:rPr>
          <w:rFonts w:ascii="Times New Roman" w:hAnsi="Times New Roman"/>
          <w:sz w:val="24"/>
          <w:szCs w:val="24"/>
        </w:rPr>
        <w:t>3</w:t>
      </w:r>
      <w:r w:rsidRPr="00060AEF">
        <w:rPr>
          <w:rFonts w:ascii="Times New Roman" w:hAnsi="Times New Roman"/>
          <w:sz w:val="24"/>
          <w:szCs w:val="24"/>
        </w:rPr>
        <w:t>/</w:t>
      </w:r>
      <w:r w:rsidR="004A3235" w:rsidRPr="00060AEF">
        <w:rPr>
          <w:rFonts w:ascii="Times New Roman" w:hAnsi="Times New Roman"/>
          <w:sz w:val="24"/>
          <w:szCs w:val="24"/>
        </w:rPr>
        <w:t>8</w:t>
      </w:r>
      <w:r w:rsidRPr="00060AEF">
        <w:rPr>
          <w:rFonts w:ascii="Times New Roman" w:hAnsi="Times New Roman"/>
          <w:sz w:val="24"/>
          <w:szCs w:val="24"/>
        </w:rPr>
        <w:t xml:space="preserve">/2016 με ποσοστό </w:t>
      </w:r>
      <w:r w:rsidR="004A3235" w:rsidRPr="00060AEF">
        <w:rPr>
          <w:rFonts w:ascii="Times New Roman" w:hAnsi="Times New Roman"/>
          <w:sz w:val="24"/>
          <w:szCs w:val="24"/>
        </w:rPr>
        <w:t>27</w:t>
      </w:r>
      <w:r w:rsidRPr="00060AEF">
        <w:rPr>
          <w:rFonts w:ascii="Times New Roman" w:hAnsi="Times New Roman"/>
          <w:sz w:val="24"/>
          <w:szCs w:val="24"/>
        </w:rPr>
        <w:t>,</w:t>
      </w:r>
      <w:r w:rsidR="004A3235" w:rsidRPr="00060AEF">
        <w:rPr>
          <w:rFonts w:ascii="Times New Roman" w:hAnsi="Times New Roman"/>
          <w:sz w:val="24"/>
          <w:szCs w:val="24"/>
        </w:rPr>
        <w:t>6</w:t>
      </w:r>
      <w:r w:rsidRPr="00060AEF">
        <w:rPr>
          <w:rFonts w:ascii="Times New Roman" w:hAnsi="Times New Roman"/>
          <w:sz w:val="24"/>
          <w:szCs w:val="24"/>
        </w:rPr>
        <w:t xml:space="preserve">% και τέλος </w:t>
      </w:r>
      <w:r w:rsidR="004A3235" w:rsidRPr="00060AEF">
        <w:rPr>
          <w:rFonts w:ascii="Times New Roman" w:hAnsi="Times New Roman"/>
          <w:sz w:val="24"/>
          <w:szCs w:val="24"/>
        </w:rPr>
        <w:t>από αυτήν της</w:t>
      </w:r>
      <w:r w:rsidRPr="00060AEF">
        <w:rPr>
          <w:rFonts w:ascii="Times New Roman" w:hAnsi="Times New Roman"/>
          <w:sz w:val="24"/>
          <w:szCs w:val="24"/>
        </w:rPr>
        <w:t xml:space="preserve"> 16/</w:t>
      </w:r>
      <w:r w:rsidR="004A3235" w:rsidRPr="00060AEF">
        <w:rPr>
          <w:rFonts w:ascii="Times New Roman" w:hAnsi="Times New Roman"/>
          <w:sz w:val="24"/>
          <w:szCs w:val="24"/>
        </w:rPr>
        <w:t>8</w:t>
      </w:r>
      <w:r w:rsidRPr="00060AEF">
        <w:rPr>
          <w:rFonts w:ascii="Times New Roman" w:hAnsi="Times New Roman"/>
          <w:sz w:val="24"/>
          <w:szCs w:val="24"/>
        </w:rPr>
        <w:t>/201</w:t>
      </w:r>
      <w:r w:rsidR="004A3235" w:rsidRPr="00060AEF">
        <w:rPr>
          <w:rFonts w:ascii="Times New Roman" w:hAnsi="Times New Roman"/>
          <w:sz w:val="24"/>
          <w:szCs w:val="24"/>
        </w:rPr>
        <w:t>6</w:t>
      </w:r>
      <w:r w:rsidRPr="00060AEF">
        <w:rPr>
          <w:rFonts w:ascii="Times New Roman" w:hAnsi="Times New Roman"/>
          <w:sz w:val="24"/>
          <w:szCs w:val="24"/>
        </w:rPr>
        <w:t xml:space="preserve"> έως το τέλος των εκπτώσεων. </w:t>
      </w:r>
      <w:r w:rsidR="004A3235" w:rsidRPr="00060AEF">
        <w:rPr>
          <w:rFonts w:ascii="Times New Roman" w:hAnsi="Times New Roman"/>
          <w:sz w:val="24"/>
          <w:szCs w:val="24"/>
        </w:rPr>
        <w:t xml:space="preserve">Η εν λόγω εξέλιξη επαναφέρει την ομαλοποίηση της κατανομής της καταναλωτικής </w:t>
      </w:r>
      <w:r w:rsidR="003A422E" w:rsidRPr="00060AEF">
        <w:rPr>
          <w:rFonts w:ascii="Times New Roman" w:hAnsi="Times New Roman"/>
          <w:sz w:val="24"/>
          <w:szCs w:val="24"/>
        </w:rPr>
        <w:t>κίνησης</w:t>
      </w:r>
      <w:r w:rsidR="004A3235" w:rsidRPr="00060AEF">
        <w:rPr>
          <w:rFonts w:ascii="Times New Roman" w:hAnsi="Times New Roman"/>
          <w:sz w:val="24"/>
          <w:szCs w:val="24"/>
        </w:rPr>
        <w:t xml:space="preserve"> ανάμεσα στις τρεις περιόδους των εκπτώσεων</w:t>
      </w:r>
      <w:r w:rsidR="003A422E" w:rsidRPr="00060AEF">
        <w:rPr>
          <w:rFonts w:ascii="Times New Roman" w:hAnsi="Times New Roman"/>
          <w:sz w:val="24"/>
          <w:szCs w:val="24"/>
        </w:rPr>
        <w:t xml:space="preserve">, η οποία είχε διαταραχθεί πέρυσι εξαιτίας της επιβολής των </w:t>
      </w:r>
      <w:r w:rsidR="003A422E" w:rsidRPr="00060AEF">
        <w:rPr>
          <w:rFonts w:ascii="Times New Roman" w:hAnsi="Times New Roman"/>
          <w:sz w:val="24"/>
          <w:szCs w:val="24"/>
          <w:lang w:val="en-US"/>
        </w:rPr>
        <w:t>Capital</w:t>
      </w:r>
      <w:r w:rsidR="003A422E" w:rsidRPr="00060AEF">
        <w:rPr>
          <w:rFonts w:ascii="Times New Roman" w:hAnsi="Times New Roman"/>
          <w:sz w:val="24"/>
          <w:szCs w:val="24"/>
        </w:rPr>
        <w:t xml:space="preserve"> </w:t>
      </w:r>
      <w:r w:rsidR="003A422E" w:rsidRPr="00060AEF">
        <w:rPr>
          <w:rFonts w:ascii="Times New Roman" w:hAnsi="Times New Roman"/>
          <w:sz w:val="24"/>
          <w:szCs w:val="24"/>
          <w:lang w:val="en-US"/>
        </w:rPr>
        <w:t>Controls</w:t>
      </w:r>
      <w:r w:rsidR="003A422E" w:rsidRPr="00060AEF">
        <w:rPr>
          <w:rFonts w:ascii="Times New Roman" w:hAnsi="Times New Roman"/>
          <w:sz w:val="24"/>
          <w:szCs w:val="24"/>
        </w:rPr>
        <w:t xml:space="preserve"> και των έκτακτων καταστάσεων που αυτή συνεπάγεται</w:t>
      </w:r>
      <w:r w:rsidR="004A3235" w:rsidRPr="00060AEF">
        <w:rPr>
          <w:rFonts w:ascii="Times New Roman" w:hAnsi="Times New Roman"/>
          <w:sz w:val="24"/>
          <w:szCs w:val="24"/>
        </w:rPr>
        <w:t xml:space="preserve">  </w:t>
      </w:r>
      <w:r w:rsidR="003A422E" w:rsidRPr="00060AEF">
        <w:rPr>
          <w:rFonts w:ascii="Times New Roman" w:hAnsi="Times New Roman"/>
          <w:sz w:val="24"/>
          <w:szCs w:val="24"/>
        </w:rPr>
        <w:t xml:space="preserve">(προτίμηση της δεύτερης περιόδου     1-15/8) </w:t>
      </w:r>
    </w:p>
    <w:p w:rsidR="004A3235" w:rsidRDefault="004A3235" w:rsidP="007F099E">
      <w:pPr>
        <w:pStyle w:val="ae"/>
        <w:jc w:val="both"/>
        <w:rPr>
          <w:rFonts w:ascii="Times New Roman" w:hAnsi="Times New Roman"/>
          <w:sz w:val="24"/>
          <w:szCs w:val="24"/>
          <w:highlight w:val="yellow"/>
        </w:rPr>
      </w:pPr>
    </w:p>
    <w:p w:rsidR="007F099E" w:rsidRDefault="00E67A81" w:rsidP="007F099E">
      <w:pPr>
        <w:pStyle w:val="ae"/>
        <w:jc w:val="both"/>
        <w:rPr>
          <w:rFonts w:ascii="Times New Roman" w:hAnsi="Times New Roman"/>
          <w:sz w:val="24"/>
          <w:szCs w:val="24"/>
        </w:rPr>
      </w:pPr>
      <w:r w:rsidRPr="00E67A81">
        <w:rPr>
          <w:rFonts w:ascii="Times New Roman" w:hAnsi="Times New Roman"/>
          <w:noProof/>
          <w:sz w:val="24"/>
          <w:szCs w:val="24"/>
          <w:lang w:eastAsia="el-GR"/>
        </w:rPr>
        <w:drawing>
          <wp:inline distT="0" distB="0" distL="0" distR="0">
            <wp:extent cx="5099685" cy="2819400"/>
            <wp:effectExtent l="19050" t="0" r="24765" b="0"/>
            <wp:docPr id="14"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099E" w:rsidRDefault="007F099E" w:rsidP="007F099E">
      <w:pPr>
        <w:pStyle w:val="ae"/>
        <w:jc w:val="both"/>
        <w:rPr>
          <w:rFonts w:ascii="Times New Roman" w:hAnsi="Times New Roman"/>
          <w:sz w:val="24"/>
          <w:szCs w:val="24"/>
        </w:rPr>
      </w:pPr>
    </w:p>
    <w:p w:rsidR="007F099E" w:rsidRDefault="007F099E" w:rsidP="007F099E">
      <w:pPr>
        <w:pStyle w:val="ae"/>
        <w:spacing w:before="80"/>
        <w:jc w:val="both"/>
        <w:rPr>
          <w:rFonts w:ascii="Times New Roman" w:hAnsi="Times New Roman"/>
          <w:sz w:val="24"/>
          <w:szCs w:val="24"/>
        </w:rPr>
      </w:pPr>
    </w:p>
    <w:p w:rsidR="007F099E" w:rsidRDefault="007F099E" w:rsidP="007F099E">
      <w:pPr>
        <w:spacing w:after="0" w:line="240" w:lineRule="auto"/>
        <w:jc w:val="both"/>
        <w:rPr>
          <w:rFonts w:ascii="Times New Roman" w:hAnsi="Times New Roman"/>
          <w:sz w:val="25"/>
          <w:szCs w:val="25"/>
        </w:rPr>
      </w:pPr>
    </w:p>
    <w:p w:rsidR="007F099E" w:rsidRPr="00C667D6" w:rsidRDefault="007F099E" w:rsidP="007F099E">
      <w:pPr>
        <w:spacing w:after="0" w:line="240" w:lineRule="auto"/>
        <w:jc w:val="both"/>
        <w:rPr>
          <w:rFonts w:ascii="Times New Roman" w:hAnsi="Times New Roman"/>
          <w:sz w:val="24"/>
          <w:szCs w:val="24"/>
        </w:rPr>
      </w:pPr>
      <w:r w:rsidRPr="003A422E">
        <w:rPr>
          <w:rFonts w:ascii="Times New Roman" w:hAnsi="Times New Roman"/>
          <w:sz w:val="24"/>
          <w:szCs w:val="24"/>
        </w:rPr>
        <w:t>Για τα καταστήματα που άνοιξαν</w:t>
      </w:r>
      <w:r w:rsidR="00FF17D7" w:rsidRPr="003A422E">
        <w:rPr>
          <w:rFonts w:ascii="Times New Roman" w:hAnsi="Times New Roman"/>
          <w:sz w:val="24"/>
          <w:szCs w:val="24"/>
        </w:rPr>
        <w:t xml:space="preserve"> την Κυριακή 17 </w:t>
      </w:r>
      <w:r w:rsidR="003A422E" w:rsidRPr="003A422E">
        <w:rPr>
          <w:rFonts w:ascii="Times New Roman" w:hAnsi="Times New Roman"/>
          <w:sz w:val="24"/>
          <w:szCs w:val="24"/>
        </w:rPr>
        <w:t>Ιουλίου</w:t>
      </w:r>
      <w:r w:rsidR="00060AEF">
        <w:rPr>
          <w:rFonts w:ascii="Times New Roman" w:hAnsi="Times New Roman"/>
          <w:sz w:val="24"/>
          <w:szCs w:val="24"/>
        </w:rPr>
        <w:t xml:space="preserve"> (το 27% των συμμετεχόντων στην έρευνα)</w:t>
      </w:r>
      <w:r w:rsidRPr="003A422E">
        <w:rPr>
          <w:rFonts w:ascii="Times New Roman" w:hAnsi="Times New Roman"/>
          <w:sz w:val="24"/>
          <w:szCs w:val="24"/>
        </w:rPr>
        <w:t xml:space="preserve"> παρατηρείται ότι η πλειονότητα των επιχειρηματιών, της τάξης του 8</w:t>
      </w:r>
      <w:r w:rsidR="003A422E" w:rsidRPr="003A422E">
        <w:rPr>
          <w:rFonts w:ascii="Times New Roman" w:hAnsi="Times New Roman"/>
          <w:sz w:val="24"/>
          <w:szCs w:val="24"/>
        </w:rPr>
        <w:t>0</w:t>
      </w:r>
      <w:r w:rsidRPr="003A422E">
        <w:rPr>
          <w:rFonts w:ascii="Times New Roman" w:hAnsi="Times New Roman"/>
          <w:sz w:val="24"/>
          <w:szCs w:val="24"/>
        </w:rPr>
        <w:t xml:space="preserve">%, πιστεύει ότι το άνοιγμα του καταστήματος την Κυριακή δεν επηρέασε τον συνολικό τζίρο της χειμερινής εκπτωτικής περιόδου και μόλις </w:t>
      </w:r>
      <w:r w:rsidR="003A422E" w:rsidRPr="003A422E">
        <w:rPr>
          <w:rFonts w:ascii="Times New Roman" w:hAnsi="Times New Roman"/>
          <w:sz w:val="24"/>
          <w:szCs w:val="24"/>
        </w:rPr>
        <w:t>ένας στους πέντε</w:t>
      </w:r>
      <w:r w:rsidRPr="003A422E">
        <w:rPr>
          <w:rFonts w:ascii="Times New Roman" w:hAnsi="Times New Roman"/>
          <w:sz w:val="24"/>
          <w:szCs w:val="24"/>
        </w:rPr>
        <w:t xml:space="preserve"> δηλώνει ότι </w:t>
      </w:r>
      <w:r w:rsidR="003A422E" w:rsidRPr="003A422E">
        <w:rPr>
          <w:rFonts w:ascii="Times New Roman" w:hAnsi="Times New Roman"/>
          <w:sz w:val="24"/>
          <w:szCs w:val="24"/>
        </w:rPr>
        <w:t>κατέγραψε αύξηση των πωλήσεών του.</w:t>
      </w:r>
    </w:p>
    <w:p w:rsidR="007F099E" w:rsidRPr="00ED5D25" w:rsidRDefault="007F099E" w:rsidP="007F099E">
      <w:pPr>
        <w:spacing w:after="0" w:line="240" w:lineRule="auto"/>
        <w:jc w:val="both"/>
        <w:rPr>
          <w:rFonts w:ascii="Times New Roman" w:hAnsi="Times New Roman"/>
          <w:sz w:val="25"/>
          <w:szCs w:val="25"/>
        </w:rPr>
      </w:pPr>
    </w:p>
    <w:p w:rsidR="007F099E" w:rsidRDefault="00060AEF" w:rsidP="007F099E">
      <w:pPr>
        <w:pStyle w:val="ae"/>
        <w:spacing w:line="360" w:lineRule="atLeast"/>
        <w:jc w:val="both"/>
        <w:rPr>
          <w:rFonts w:ascii="Times New Roman" w:hAnsi="Times New Roman"/>
          <w:sz w:val="24"/>
          <w:szCs w:val="24"/>
        </w:rPr>
      </w:pPr>
      <w:r w:rsidRPr="00060AEF">
        <w:rPr>
          <w:rFonts w:ascii="Times New Roman" w:hAnsi="Times New Roman"/>
          <w:noProof/>
          <w:sz w:val="24"/>
          <w:szCs w:val="24"/>
          <w:lang w:eastAsia="el-GR"/>
        </w:rPr>
        <w:lastRenderedPageBreak/>
        <w:drawing>
          <wp:inline distT="0" distB="0" distL="0" distR="0">
            <wp:extent cx="5337810" cy="2225323"/>
            <wp:effectExtent l="19050" t="0" r="15240" b="3527"/>
            <wp:docPr id="31" name="Γράφημα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0AEF" w:rsidRDefault="00060AEF" w:rsidP="007F099E">
      <w:pPr>
        <w:pStyle w:val="ae"/>
        <w:spacing w:line="360" w:lineRule="atLeast"/>
        <w:jc w:val="both"/>
        <w:rPr>
          <w:rFonts w:ascii="Times New Roman" w:hAnsi="Times New Roman"/>
          <w:sz w:val="24"/>
          <w:szCs w:val="24"/>
        </w:rPr>
      </w:pPr>
    </w:p>
    <w:p w:rsidR="00060AEF" w:rsidRPr="005756C6" w:rsidRDefault="00060AEF" w:rsidP="007F099E">
      <w:pPr>
        <w:pStyle w:val="ae"/>
        <w:spacing w:line="360" w:lineRule="atLeast"/>
        <w:jc w:val="both"/>
        <w:rPr>
          <w:rFonts w:ascii="Times New Roman" w:hAnsi="Times New Roman"/>
          <w:sz w:val="24"/>
          <w:szCs w:val="24"/>
        </w:rPr>
      </w:pPr>
    </w:p>
    <w:p w:rsidR="007F099E" w:rsidRPr="008F75EC" w:rsidRDefault="00AA29D2" w:rsidP="007F099E">
      <w:pPr>
        <w:pStyle w:val="ae"/>
        <w:spacing w:line="360" w:lineRule="atLeast"/>
        <w:jc w:val="center"/>
        <w:rPr>
          <w:rFonts w:ascii="Times New Roman" w:hAnsi="Times New Roman"/>
          <w:sz w:val="24"/>
          <w:szCs w:val="24"/>
          <w:lang w:val="en-GB"/>
        </w:rPr>
      </w:pPr>
      <w:r w:rsidRPr="00AA29D2">
        <w:rPr>
          <w:rFonts w:ascii="Times New Roman" w:hAnsi="Times New Roman"/>
          <w:noProof/>
          <w:sz w:val="24"/>
          <w:szCs w:val="24"/>
          <w:lang w:eastAsia="el-GR"/>
        </w:rPr>
        <w:drawing>
          <wp:inline distT="0" distB="0" distL="0" distR="0">
            <wp:extent cx="5337810" cy="2562643"/>
            <wp:effectExtent l="19050" t="0" r="15240" b="9107"/>
            <wp:docPr id="15" name="Γράφημα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099E" w:rsidRPr="00C667D6" w:rsidRDefault="007F099E" w:rsidP="007F099E">
      <w:pPr>
        <w:pStyle w:val="ae"/>
        <w:jc w:val="both"/>
        <w:rPr>
          <w:rFonts w:ascii="Times New Roman" w:hAnsi="Times New Roman"/>
          <w:sz w:val="25"/>
          <w:szCs w:val="25"/>
          <w:lang w:val="en-US"/>
        </w:rPr>
      </w:pPr>
    </w:p>
    <w:p w:rsidR="007F099E" w:rsidRDefault="007F099E" w:rsidP="007F099E">
      <w:pPr>
        <w:pStyle w:val="ae"/>
        <w:jc w:val="both"/>
        <w:rPr>
          <w:rFonts w:ascii="Times New Roman" w:hAnsi="Times New Roman"/>
          <w:sz w:val="25"/>
          <w:szCs w:val="25"/>
        </w:rPr>
      </w:pPr>
    </w:p>
    <w:p w:rsidR="007F099E" w:rsidRPr="00C667D6" w:rsidRDefault="00BB63AC" w:rsidP="007F099E">
      <w:pPr>
        <w:pStyle w:val="ae"/>
        <w:jc w:val="both"/>
        <w:rPr>
          <w:rFonts w:ascii="Times New Roman" w:hAnsi="Times New Roman"/>
          <w:sz w:val="24"/>
          <w:szCs w:val="24"/>
        </w:rPr>
      </w:pPr>
      <w:r w:rsidRPr="00060AEF">
        <w:rPr>
          <w:rFonts w:ascii="Times New Roman" w:hAnsi="Times New Roman"/>
          <w:sz w:val="24"/>
          <w:szCs w:val="24"/>
        </w:rPr>
        <w:t xml:space="preserve">Είναι ιδιαίτερα αποκαλυπτικό ότι </w:t>
      </w:r>
      <w:r w:rsidR="003A422E" w:rsidRPr="00060AEF">
        <w:rPr>
          <w:rFonts w:ascii="Times New Roman" w:hAnsi="Times New Roman"/>
          <w:sz w:val="24"/>
          <w:szCs w:val="24"/>
        </w:rPr>
        <w:t>κανένας ερωτώμενος δεν έχει προβεί σε πρόσληψη υπαλλήλου για την κάλυψη των αναγκών της λειτουργίας της επιχείρησής του την Κυριακή</w:t>
      </w:r>
      <w:r w:rsidR="00060AEF" w:rsidRPr="00060AEF">
        <w:rPr>
          <w:rFonts w:ascii="Times New Roman" w:hAnsi="Times New Roman"/>
          <w:sz w:val="24"/>
          <w:szCs w:val="24"/>
        </w:rPr>
        <w:t xml:space="preserve">, επιβεβαιώνοντας </w:t>
      </w:r>
      <w:r w:rsidR="007F099E" w:rsidRPr="00060AEF">
        <w:rPr>
          <w:rFonts w:ascii="Times New Roman" w:hAnsi="Times New Roman"/>
          <w:sz w:val="24"/>
          <w:szCs w:val="24"/>
        </w:rPr>
        <w:t xml:space="preserve">το </w:t>
      </w:r>
      <w:r w:rsidR="00060AEF" w:rsidRPr="00060AEF">
        <w:rPr>
          <w:rFonts w:ascii="Times New Roman" w:hAnsi="Times New Roman"/>
          <w:sz w:val="24"/>
          <w:szCs w:val="24"/>
        </w:rPr>
        <w:t xml:space="preserve">συμπέρασμα πως το </w:t>
      </w:r>
      <w:r w:rsidR="007F099E" w:rsidRPr="00060AEF">
        <w:rPr>
          <w:rFonts w:ascii="Times New Roman" w:hAnsi="Times New Roman"/>
          <w:sz w:val="24"/>
          <w:szCs w:val="24"/>
        </w:rPr>
        <w:t xml:space="preserve">άνοιγμα των καταστημάτων τις Κυριακές </w:t>
      </w:r>
      <w:r w:rsidR="006E54C5" w:rsidRPr="00060AEF">
        <w:rPr>
          <w:rFonts w:ascii="Times New Roman" w:hAnsi="Times New Roman"/>
          <w:sz w:val="24"/>
          <w:szCs w:val="24"/>
        </w:rPr>
        <w:t xml:space="preserve">δε </w:t>
      </w:r>
      <w:r w:rsidR="00060AEF" w:rsidRPr="00060AEF">
        <w:rPr>
          <w:rFonts w:ascii="Times New Roman" w:hAnsi="Times New Roman"/>
          <w:sz w:val="24"/>
          <w:szCs w:val="24"/>
        </w:rPr>
        <w:t xml:space="preserve">φαίνεται να </w:t>
      </w:r>
      <w:r w:rsidR="006E54C5" w:rsidRPr="00060AEF">
        <w:rPr>
          <w:rFonts w:ascii="Times New Roman" w:hAnsi="Times New Roman"/>
          <w:sz w:val="24"/>
          <w:szCs w:val="24"/>
        </w:rPr>
        <w:t>συμβάλλει σ</w:t>
      </w:r>
      <w:r w:rsidR="007F099E" w:rsidRPr="00060AEF">
        <w:rPr>
          <w:rFonts w:ascii="Times New Roman" w:hAnsi="Times New Roman"/>
          <w:sz w:val="24"/>
          <w:szCs w:val="24"/>
        </w:rPr>
        <w:t xml:space="preserve">την </w:t>
      </w:r>
      <w:r w:rsidR="006E54C5" w:rsidRPr="00060AEF">
        <w:rPr>
          <w:rFonts w:ascii="Times New Roman" w:hAnsi="Times New Roman"/>
          <w:sz w:val="24"/>
          <w:szCs w:val="24"/>
        </w:rPr>
        <w:t>τόνωση</w:t>
      </w:r>
      <w:r w:rsidR="007F099E" w:rsidRPr="00060AEF">
        <w:rPr>
          <w:rFonts w:ascii="Times New Roman" w:hAnsi="Times New Roman"/>
          <w:sz w:val="24"/>
          <w:szCs w:val="24"/>
        </w:rPr>
        <w:t xml:space="preserve"> της απασχόλησης. Η πλειονότητα </w:t>
      </w:r>
      <w:r w:rsidR="006E54C5" w:rsidRPr="00060AEF">
        <w:rPr>
          <w:rFonts w:ascii="Times New Roman" w:hAnsi="Times New Roman"/>
          <w:sz w:val="24"/>
          <w:szCs w:val="24"/>
        </w:rPr>
        <w:t xml:space="preserve">των επιχειρηματιών </w:t>
      </w:r>
      <w:r w:rsidR="007F099E" w:rsidRPr="00060AEF">
        <w:rPr>
          <w:rFonts w:ascii="Times New Roman" w:hAnsi="Times New Roman"/>
          <w:sz w:val="24"/>
          <w:szCs w:val="24"/>
        </w:rPr>
        <w:t xml:space="preserve">σε ποσοστό </w:t>
      </w:r>
      <w:r w:rsidR="003A422E" w:rsidRPr="00060AEF">
        <w:rPr>
          <w:rFonts w:ascii="Times New Roman" w:hAnsi="Times New Roman"/>
          <w:sz w:val="24"/>
          <w:szCs w:val="24"/>
        </w:rPr>
        <w:t>64</w:t>
      </w:r>
      <w:r w:rsidR="007F099E" w:rsidRPr="00060AEF">
        <w:rPr>
          <w:rFonts w:ascii="Times New Roman" w:hAnsi="Times New Roman"/>
          <w:sz w:val="24"/>
          <w:szCs w:val="24"/>
        </w:rPr>
        <w:t xml:space="preserve">% έχει επωμιστεί προσωπικά την κάλυψη της συγκεκριμένης ανάγκης και το υπόλοιπο </w:t>
      </w:r>
      <w:r w:rsidR="003A422E" w:rsidRPr="00060AEF">
        <w:rPr>
          <w:rFonts w:ascii="Times New Roman" w:hAnsi="Times New Roman"/>
          <w:sz w:val="24"/>
          <w:szCs w:val="24"/>
        </w:rPr>
        <w:t>36</w:t>
      </w:r>
      <w:r w:rsidR="007F099E" w:rsidRPr="00060AEF">
        <w:rPr>
          <w:rFonts w:ascii="Times New Roman" w:hAnsi="Times New Roman"/>
          <w:sz w:val="24"/>
          <w:szCs w:val="24"/>
        </w:rPr>
        <w:t>% των επιχειρήσεων έχει επεκτείνει το ωράριο των ήδη υπαρχόντων υπαλλήλων.</w:t>
      </w:r>
    </w:p>
    <w:p w:rsidR="007F099E" w:rsidRDefault="007F099E" w:rsidP="007F099E">
      <w:pPr>
        <w:rPr>
          <w:rFonts w:ascii="Times New Roman" w:hAnsi="Times New Roman"/>
          <w:sz w:val="24"/>
          <w:szCs w:val="24"/>
        </w:rPr>
      </w:pPr>
    </w:p>
    <w:p w:rsidR="007F099E" w:rsidRPr="005C567A" w:rsidRDefault="003A422E" w:rsidP="007F099E">
      <w:pPr>
        <w:rPr>
          <w:rFonts w:ascii="Times New Roman" w:hAnsi="Times New Roman"/>
          <w:sz w:val="24"/>
          <w:szCs w:val="24"/>
        </w:rPr>
      </w:pPr>
      <w:r w:rsidRPr="003A422E">
        <w:rPr>
          <w:rFonts w:ascii="Times New Roman" w:hAnsi="Times New Roman"/>
          <w:noProof/>
          <w:sz w:val="24"/>
          <w:szCs w:val="24"/>
          <w:lang w:eastAsia="el-GR"/>
        </w:rPr>
        <w:drawing>
          <wp:inline distT="0" distB="0" distL="0" distR="0">
            <wp:extent cx="5337810" cy="1854024"/>
            <wp:effectExtent l="19050" t="0" r="15240" b="0"/>
            <wp:docPr id="19" name="Γράφημα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29D2" w:rsidRDefault="00AA29D2" w:rsidP="007F099E">
      <w:pPr>
        <w:spacing w:after="0" w:line="240" w:lineRule="auto"/>
        <w:jc w:val="both"/>
        <w:rPr>
          <w:rFonts w:ascii="Times New Roman" w:hAnsi="Times New Roman"/>
          <w:sz w:val="24"/>
          <w:szCs w:val="24"/>
          <w:highlight w:val="yellow"/>
        </w:rPr>
      </w:pPr>
    </w:p>
    <w:p w:rsidR="007F099E" w:rsidRPr="00C667D6" w:rsidRDefault="007F099E" w:rsidP="007F099E">
      <w:pPr>
        <w:spacing w:after="0" w:line="240" w:lineRule="auto"/>
        <w:jc w:val="both"/>
        <w:rPr>
          <w:rFonts w:ascii="Times New Roman" w:hAnsi="Times New Roman"/>
          <w:sz w:val="24"/>
          <w:szCs w:val="24"/>
        </w:rPr>
      </w:pPr>
      <w:r w:rsidRPr="00060AEF">
        <w:rPr>
          <w:rFonts w:ascii="Times New Roman" w:hAnsi="Times New Roman"/>
          <w:sz w:val="24"/>
          <w:szCs w:val="24"/>
        </w:rPr>
        <w:lastRenderedPageBreak/>
        <w:t xml:space="preserve">Όσον αφορά </w:t>
      </w:r>
      <w:r w:rsidR="006E54C5" w:rsidRPr="00060AEF">
        <w:rPr>
          <w:rFonts w:ascii="Times New Roman" w:hAnsi="Times New Roman"/>
          <w:sz w:val="24"/>
          <w:szCs w:val="24"/>
        </w:rPr>
        <w:t>σ</w:t>
      </w:r>
      <w:r w:rsidRPr="00060AEF">
        <w:rPr>
          <w:rFonts w:ascii="Times New Roman" w:hAnsi="Times New Roman"/>
          <w:sz w:val="24"/>
          <w:szCs w:val="24"/>
        </w:rPr>
        <w:t xml:space="preserve">το λειτουργικό κόστος της επιχείρησης, το </w:t>
      </w:r>
      <w:r w:rsidR="006E54C5" w:rsidRPr="00060AEF">
        <w:rPr>
          <w:rFonts w:ascii="Times New Roman" w:hAnsi="Times New Roman"/>
          <w:sz w:val="24"/>
          <w:szCs w:val="24"/>
        </w:rPr>
        <w:t>44</w:t>
      </w:r>
      <w:r w:rsidRPr="00060AEF">
        <w:rPr>
          <w:rFonts w:ascii="Times New Roman" w:hAnsi="Times New Roman"/>
          <w:sz w:val="24"/>
          <w:szCs w:val="24"/>
        </w:rPr>
        <w:t xml:space="preserve">% των επιχειρήσεων </w:t>
      </w:r>
      <w:r w:rsidR="006E54C5" w:rsidRPr="00060AEF">
        <w:rPr>
          <w:rFonts w:ascii="Times New Roman" w:hAnsi="Times New Roman"/>
          <w:sz w:val="24"/>
          <w:szCs w:val="24"/>
        </w:rPr>
        <w:t xml:space="preserve">που άνοιξαν </w:t>
      </w:r>
      <w:r w:rsidRPr="00060AEF">
        <w:rPr>
          <w:rFonts w:ascii="Times New Roman" w:hAnsi="Times New Roman"/>
          <w:sz w:val="24"/>
          <w:szCs w:val="24"/>
        </w:rPr>
        <w:t>απάντησ</w:t>
      </w:r>
      <w:r w:rsidR="006E54C5" w:rsidRPr="00060AEF">
        <w:rPr>
          <w:rFonts w:ascii="Times New Roman" w:hAnsi="Times New Roman"/>
          <w:sz w:val="24"/>
          <w:szCs w:val="24"/>
        </w:rPr>
        <w:t>ε</w:t>
      </w:r>
      <w:r w:rsidRPr="00060AEF">
        <w:rPr>
          <w:rFonts w:ascii="Times New Roman" w:hAnsi="Times New Roman"/>
          <w:sz w:val="24"/>
          <w:szCs w:val="24"/>
        </w:rPr>
        <w:t xml:space="preserve"> ότι επιβαρύνεται είτε πάρα πολύ είτε πολύ από το άνοιγμα των Κυριακών, το </w:t>
      </w:r>
      <w:r w:rsidR="006E54C5" w:rsidRPr="00060AEF">
        <w:rPr>
          <w:rFonts w:ascii="Times New Roman" w:hAnsi="Times New Roman"/>
          <w:sz w:val="24"/>
          <w:szCs w:val="24"/>
        </w:rPr>
        <w:t>25</w:t>
      </w:r>
      <w:r w:rsidRPr="00060AEF">
        <w:rPr>
          <w:rFonts w:ascii="Times New Roman" w:hAnsi="Times New Roman"/>
          <w:sz w:val="24"/>
          <w:szCs w:val="24"/>
        </w:rPr>
        <w:t xml:space="preserve">% απάντησε λίγο, ενώ το </w:t>
      </w:r>
      <w:r w:rsidR="006E54C5" w:rsidRPr="00060AEF">
        <w:rPr>
          <w:rFonts w:ascii="Times New Roman" w:hAnsi="Times New Roman"/>
          <w:sz w:val="24"/>
          <w:szCs w:val="24"/>
        </w:rPr>
        <w:t>31</w:t>
      </w:r>
      <w:r w:rsidRPr="00060AEF">
        <w:rPr>
          <w:rFonts w:ascii="Times New Roman" w:hAnsi="Times New Roman"/>
          <w:sz w:val="24"/>
          <w:szCs w:val="24"/>
        </w:rPr>
        <w:t>% δήλωσε ότι δεν έχει επιβαρυνθεί καθόλου.</w:t>
      </w:r>
    </w:p>
    <w:p w:rsidR="007F099E" w:rsidRPr="00ED5D25" w:rsidRDefault="007F099E" w:rsidP="007F099E">
      <w:pPr>
        <w:spacing w:after="0" w:line="240" w:lineRule="auto"/>
        <w:jc w:val="both"/>
        <w:rPr>
          <w:rFonts w:ascii="Times New Roman" w:hAnsi="Times New Roman"/>
          <w:sz w:val="25"/>
          <w:szCs w:val="25"/>
        </w:rPr>
      </w:pPr>
    </w:p>
    <w:p w:rsidR="007F099E" w:rsidRPr="00595DBD" w:rsidRDefault="00AA29D2" w:rsidP="007F099E">
      <w:pPr>
        <w:spacing w:line="360" w:lineRule="atLeast"/>
        <w:jc w:val="center"/>
        <w:rPr>
          <w:rFonts w:ascii="Times New Roman" w:hAnsi="Times New Roman"/>
          <w:sz w:val="24"/>
          <w:szCs w:val="24"/>
        </w:rPr>
      </w:pPr>
      <w:r w:rsidRPr="00AA29D2">
        <w:rPr>
          <w:rFonts w:ascii="Times New Roman" w:hAnsi="Times New Roman"/>
          <w:noProof/>
          <w:sz w:val="24"/>
          <w:szCs w:val="24"/>
          <w:lang w:eastAsia="el-GR"/>
        </w:rPr>
        <w:drawing>
          <wp:inline distT="0" distB="0" distL="0" distR="0">
            <wp:extent cx="5337810" cy="2552700"/>
            <wp:effectExtent l="19050" t="0" r="15240" b="0"/>
            <wp:docPr id="17" name="Γράφημα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F099E" w:rsidRPr="00C667D6" w:rsidRDefault="007F099E" w:rsidP="007F099E">
      <w:pPr>
        <w:spacing w:after="0" w:line="240" w:lineRule="auto"/>
        <w:jc w:val="both"/>
        <w:rPr>
          <w:rFonts w:ascii="Times New Roman" w:hAnsi="Times New Roman"/>
          <w:sz w:val="25"/>
          <w:szCs w:val="25"/>
          <w:lang w:val="en-US"/>
        </w:rPr>
      </w:pPr>
    </w:p>
    <w:p w:rsidR="007F099E" w:rsidRDefault="007F099E" w:rsidP="007F099E">
      <w:pPr>
        <w:spacing w:after="0" w:line="240" w:lineRule="auto"/>
        <w:jc w:val="both"/>
        <w:rPr>
          <w:rFonts w:ascii="Times New Roman" w:hAnsi="Times New Roman"/>
          <w:sz w:val="24"/>
          <w:szCs w:val="24"/>
        </w:rPr>
      </w:pPr>
      <w:r w:rsidRPr="00F54E69">
        <w:rPr>
          <w:rFonts w:ascii="Times New Roman" w:hAnsi="Times New Roman"/>
          <w:sz w:val="24"/>
          <w:szCs w:val="24"/>
        </w:rPr>
        <w:t xml:space="preserve">Τέλος, η επισκεψιμότητα, </w:t>
      </w:r>
      <w:r w:rsidR="00060AEF" w:rsidRPr="00F54E69">
        <w:rPr>
          <w:rFonts w:ascii="Times New Roman" w:hAnsi="Times New Roman"/>
          <w:sz w:val="24"/>
          <w:szCs w:val="24"/>
        </w:rPr>
        <w:t xml:space="preserve">σύμφωνα με το </w:t>
      </w:r>
      <w:r w:rsidR="006E54C5" w:rsidRPr="00F54E69">
        <w:rPr>
          <w:rFonts w:ascii="Times New Roman" w:hAnsi="Times New Roman"/>
          <w:sz w:val="24"/>
          <w:szCs w:val="24"/>
        </w:rPr>
        <w:t>52%</w:t>
      </w:r>
      <w:r w:rsidR="00F54E69" w:rsidRPr="00F54E69">
        <w:rPr>
          <w:rFonts w:ascii="Times New Roman" w:hAnsi="Times New Roman"/>
          <w:sz w:val="24"/>
          <w:szCs w:val="24"/>
        </w:rPr>
        <w:t xml:space="preserve"> των επιχειρηματιών, </w:t>
      </w:r>
      <w:r w:rsidRPr="00F54E69">
        <w:rPr>
          <w:rFonts w:ascii="Times New Roman" w:hAnsi="Times New Roman"/>
          <w:sz w:val="24"/>
          <w:szCs w:val="24"/>
        </w:rPr>
        <w:t xml:space="preserve">δεν έχει αυξηθεί καθόλου από το </w:t>
      </w:r>
      <w:r w:rsidR="00F54E69" w:rsidRPr="00F54E69">
        <w:rPr>
          <w:rFonts w:ascii="Times New Roman" w:hAnsi="Times New Roman"/>
          <w:sz w:val="24"/>
          <w:szCs w:val="24"/>
        </w:rPr>
        <w:t>άνοιγμα των καταστημάτων τις</w:t>
      </w:r>
      <w:r w:rsidRPr="00F54E69">
        <w:rPr>
          <w:rFonts w:ascii="Times New Roman" w:hAnsi="Times New Roman"/>
          <w:sz w:val="24"/>
          <w:szCs w:val="24"/>
        </w:rPr>
        <w:t xml:space="preserve"> Κυριακές. Το </w:t>
      </w:r>
      <w:r w:rsidR="006E54C5" w:rsidRPr="00F54E69">
        <w:rPr>
          <w:rFonts w:ascii="Times New Roman" w:hAnsi="Times New Roman"/>
          <w:sz w:val="24"/>
          <w:szCs w:val="24"/>
        </w:rPr>
        <w:t>29</w:t>
      </w:r>
      <w:r w:rsidRPr="00F54E69">
        <w:rPr>
          <w:rFonts w:ascii="Times New Roman" w:hAnsi="Times New Roman"/>
          <w:sz w:val="24"/>
          <w:szCs w:val="24"/>
        </w:rPr>
        <w:t xml:space="preserve">% των επιχειρηματιών διακρίνει μία μικρή αύξηση, ενώ μόλις το </w:t>
      </w:r>
      <w:r w:rsidR="006E54C5" w:rsidRPr="00F54E69">
        <w:rPr>
          <w:rFonts w:ascii="Times New Roman" w:hAnsi="Times New Roman"/>
          <w:sz w:val="24"/>
          <w:szCs w:val="24"/>
        </w:rPr>
        <w:t>3</w:t>
      </w:r>
      <w:r w:rsidRPr="00F54E69">
        <w:rPr>
          <w:rFonts w:ascii="Times New Roman" w:hAnsi="Times New Roman"/>
          <w:sz w:val="24"/>
          <w:szCs w:val="24"/>
        </w:rPr>
        <w:t>% δηλώνει ότι το άνοιγμα της επιχείρησής του τις Κυριακές αύξησε κατά πολύ την επισκεψιμότητα.</w:t>
      </w:r>
      <w:r w:rsidRPr="00C667D6">
        <w:rPr>
          <w:rFonts w:ascii="Times New Roman" w:hAnsi="Times New Roman"/>
          <w:sz w:val="24"/>
          <w:szCs w:val="24"/>
        </w:rPr>
        <w:t xml:space="preserve"> </w:t>
      </w:r>
    </w:p>
    <w:p w:rsidR="009A09E8" w:rsidRPr="00C667D6" w:rsidRDefault="009A09E8" w:rsidP="007F099E">
      <w:pPr>
        <w:spacing w:after="0" w:line="240" w:lineRule="auto"/>
        <w:jc w:val="both"/>
        <w:rPr>
          <w:rFonts w:ascii="Times New Roman" w:hAnsi="Times New Roman"/>
          <w:sz w:val="24"/>
          <w:szCs w:val="24"/>
        </w:rPr>
      </w:pPr>
    </w:p>
    <w:p w:rsidR="007F099E" w:rsidRDefault="00AA29D2" w:rsidP="007F099E">
      <w:pPr>
        <w:spacing w:line="360" w:lineRule="atLeast"/>
        <w:jc w:val="both"/>
        <w:rPr>
          <w:rFonts w:ascii="Times New Roman" w:hAnsi="Times New Roman"/>
          <w:sz w:val="24"/>
          <w:szCs w:val="24"/>
        </w:rPr>
      </w:pPr>
      <w:r w:rsidRPr="00AA29D2">
        <w:rPr>
          <w:rFonts w:ascii="Times New Roman" w:hAnsi="Times New Roman"/>
          <w:noProof/>
          <w:sz w:val="24"/>
          <w:szCs w:val="24"/>
          <w:lang w:eastAsia="el-GR"/>
        </w:rPr>
        <w:drawing>
          <wp:inline distT="0" distB="0" distL="0" distR="0">
            <wp:extent cx="5337810" cy="2346412"/>
            <wp:effectExtent l="19050" t="0" r="15240" b="0"/>
            <wp:docPr id="18" name="Γράφημα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25316" w:rsidRPr="00632ABB" w:rsidRDefault="00F25316" w:rsidP="00632ABB">
      <w:pPr>
        <w:pStyle w:val="ae"/>
        <w:jc w:val="center"/>
        <w:rPr>
          <w:rFonts w:ascii="Times New Roman" w:hAnsi="Times New Roman"/>
          <w:b/>
          <w:i/>
          <w:sz w:val="28"/>
          <w:szCs w:val="28"/>
          <w:u w:val="single"/>
        </w:rPr>
      </w:pPr>
      <w:r w:rsidRPr="00632ABB">
        <w:rPr>
          <w:rFonts w:ascii="Times New Roman" w:hAnsi="Times New Roman"/>
          <w:b/>
          <w:i/>
          <w:sz w:val="28"/>
          <w:szCs w:val="28"/>
          <w:u w:val="single"/>
        </w:rPr>
        <w:t>Η κίνηση των πρώτων θερινών εκπτώσεων στις συμβεβλημένες</w:t>
      </w:r>
      <w:r w:rsidR="00476E6F" w:rsidRPr="00632ABB">
        <w:rPr>
          <w:rFonts w:ascii="Times New Roman" w:hAnsi="Times New Roman"/>
          <w:b/>
          <w:i/>
          <w:sz w:val="28"/>
          <w:szCs w:val="28"/>
          <w:u w:val="single"/>
        </w:rPr>
        <w:t xml:space="preserve"> εμπορικές</w:t>
      </w:r>
      <w:r w:rsidRPr="00632ABB">
        <w:rPr>
          <w:rFonts w:ascii="Times New Roman" w:hAnsi="Times New Roman"/>
          <w:b/>
          <w:i/>
          <w:sz w:val="28"/>
          <w:szCs w:val="28"/>
          <w:u w:val="single"/>
        </w:rPr>
        <w:t xml:space="preserve"> επιχειρήσεις </w:t>
      </w:r>
      <w:r w:rsidR="00632ABB">
        <w:rPr>
          <w:rFonts w:ascii="Times New Roman" w:hAnsi="Times New Roman"/>
          <w:b/>
          <w:i/>
          <w:sz w:val="28"/>
          <w:szCs w:val="28"/>
          <w:u w:val="single"/>
        </w:rPr>
        <w:t>των ΑΚΕ</w:t>
      </w:r>
      <w:r w:rsidRPr="00632ABB">
        <w:rPr>
          <w:rFonts w:ascii="Times New Roman" w:hAnsi="Times New Roman"/>
          <w:b/>
          <w:i/>
          <w:sz w:val="28"/>
          <w:szCs w:val="28"/>
          <w:u w:val="single"/>
        </w:rPr>
        <w:t xml:space="preserve"> </w:t>
      </w:r>
      <w:r w:rsidR="00476E6F" w:rsidRPr="00632ABB">
        <w:rPr>
          <w:rFonts w:ascii="Times New Roman" w:hAnsi="Times New Roman"/>
          <w:b/>
          <w:i/>
          <w:sz w:val="28"/>
          <w:szCs w:val="28"/>
          <w:u w:val="single"/>
        </w:rPr>
        <w:t>σε Πειραιά – Θεσσαλονίκη – Πάτρα  – Αλεξανδρούπολη</w:t>
      </w:r>
    </w:p>
    <w:p w:rsidR="00C667D6" w:rsidRPr="00F25316" w:rsidRDefault="00C667D6" w:rsidP="00E64512">
      <w:pPr>
        <w:spacing w:after="0"/>
        <w:rPr>
          <w:rFonts w:ascii="Times New Roman" w:hAnsi="Times New Roman" w:cs="Times New Roman"/>
          <w:b/>
          <w:sz w:val="26"/>
          <w:szCs w:val="26"/>
        </w:rPr>
      </w:pPr>
    </w:p>
    <w:p w:rsidR="00BF7604" w:rsidRPr="00B050CA" w:rsidRDefault="009A09E8" w:rsidP="00B050CA">
      <w:pPr>
        <w:jc w:val="both"/>
        <w:rPr>
          <w:rFonts w:ascii="Times New Roman" w:hAnsi="Times New Roman"/>
          <w:sz w:val="24"/>
          <w:szCs w:val="24"/>
        </w:rPr>
      </w:pPr>
      <w:r w:rsidRPr="009A09E8">
        <w:rPr>
          <w:rFonts w:ascii="Times New Roman" w:hAnsi="Times New Roman"/>
          <w:sz w:val="24"/>
          <w:szCs w:val="24"/>
        </w:rPr>
        <w:t xml:space="preserve">Η ΕΣΕΕ για πρώτη φορά εξετάζει ξεχωριστά την κίνηση των θερινών εκπτώσεων  στις συμβεβλημένες εμπορικές  επιχειρήσεις του Open Mall του Πειραιά, της Θεσσαλονίκης, της Πάτρας και της Αλεξανδρούπολης. </w:t>
      </w:r>
      <w:r w:rsidR="009978C3" w:rsidRPr="009978C3">
        <w:rPr>
          <w:rFonts w:ascii="Times New Roman" w:hAnsi="Times New Roman"/>
          <w:sz w:val="24"/>
          <w:szCs w:val="24"/>
        </w:rPr>
        <w:t xml:space="preserve"> </w:t>
      </w:r>
      <w:r w:rsidRPr="009A09E8">
        <w:rPr>
          <w:rFonts w:ascii="Times New Roman" w:hAnsi="Times New Roman"/>
          <w:sz w:val="24"/>
          <w:szCs w:val="24"/>
        </w:rPr>
        <w:t xml:space="preserve">Η έρευνα αφορά τις εμπορικές επιχειρήσεις που συμμετέχουν στη δράση Open Mall, με κύρια δραστηριότητα το λιανικό εμπόριο και συγκεκριμένα, όπου διεξάγονται εκπτώσεις, όπως τα είδη ένδυσης-υπόδησης , τα είδη οπτικών, το λιανικό εμπόριο κοσμημάτων, και το άλλο λιανικό εξειδικευμένο εμπόριο. </w:t>
      </w:r>
      <w:r w:rsidR="00632ABB">
        <w:rPr>
          <w:rFonts w:ascii="Times New Roman" w:hAnsi="Times New Roman"/>
          <w:sz w:val="24"/>
          <w:szCs w:val="24"/>
        </w:rPr>
        <w:t xml:space="preserve">Τα αποτελέσματα των εκπτώσεων για τις επιχειρήσεις </w:t>
      </w:r>
      <w:r w:rsidR="00632ABB">
        <w:rPr>
          <w:rFonts w:ascii="Times New Roman" w:hAnsi="Times New Roman"/>
          <w:sz w:val="24"/>
          <w:szCs w:val="24"/>
        </w:rPr>
        <w:lastRenderedPageBreak/>
        <w:t xml:space="preserve">των ΑΚΕ παρουσιάζονται συνολικά και δεν λαμβάνουν υπόψη τις ιδιαίτερες περιπτώσεις κάθε τοπικής αγοράς. </w:t>
      </w:r>
    </w:p>
    <w:p w:rsidR="009978C3" w:rsidRPr="00C75ED4" w:rsidRDefault="00C75ED4" w:rsidP="004F0261">
      <w:pPr>
        <w:spacing w:before="120" w:after="0"/>
        <w:jc w:val="both"/>
        <w:rPr>
          <w:rFonts w:ascii="Times New Roman" w:hAnsi="Times New Roman"/>
          <w:sz w:val="24"/>
          <w:szCs w:val="24"/>
        </w:rPr>
      </w:pPr>
      <w:r w:rsidRPr="00C75ED4">
        <w:rPr>
          <w:rFonts w:ascii="Times New Roman" w:hAnsi="Times New Roman"/>
          <w:sz w:val="24"/>
          <w:szCs w:val="24"/>
        </w:rPr>
        <w:t xml:space="preserve">Είναι ιδιαίτερα ενδιαφέρον ότι για τις επιχειρήσεις των ΑΚΕ οι πωλήσεις των φετινών θερινών εκπτώσεων σε σύγκριση με το προηγούμενο έτος κυμάνθηκαν στα ίδια επίπεδα ή </w:t>
      </w:r>
      <w:r>
        <w:rPr>
          <w:rFonts w:ascii="Times New Roman" w:hAnsi="Times New Roman"/>
          <w:sz w:val="24"/>
          <w:szCs w:val="24"/>
        </w:rPr>
        <w:t>κατέγραψαν αυξητική τάση</w:t>
      </w:r>
      <w:r w:rsidRPr="00C75ED4">
        <w:rPr>
          <w:rFonts w:ascii="Times New Roman" w:hAnsi="Times New Roman"/>
          <w:sz w:val="24"/>
          <w:szCs w:val="24"/>
        </w:rPr>
        <w:t xml:space="preserve"> σε ποσοστ</w:t>
      </w:r>
      <w:r>
        <w:rPr>
          <w:rFonts w:ascii="Times New Roman" w:hAnsi="Times New Roman"/>
          <w:sz w:val="24"/>
          <w:szCs w:val="24"/>
        </w:rPr>
        <w:t>ά υψηλότερα</w:t>
      </w:r>
      <w:r w:rsidRPr="00C75ED4">
        <w:rPr>
          <w:rFonts w:ascii="Times New Roman" w:hAnsi="Times New Roman"/>
          <w:sz w:val="24"/>
          <w:szCs w:val="24"/>
        </w:rPr>
        <w:t xml:space="preserve"> σε σχέση με τις επιχειρήσεις του γενικού πληθυσμού. Από το 20% των ερωτηθέντων που δήλωσαν αύξηση των πωλήσεών τους, η πλειονότητα (42%) υποστήριξε πως η τόνωση του τζίρου τους κυμάνθηκε σε επίπεδα έως 10%</w:t>
      </w:r>
      <w:r w:rsidR="002E3D01">
        <w:rPr>
          <w:rFonts w:ascii="Times New Roman" w:hAnsi="Times New Roman"/>
          <w:sz w:val="24"/>
          <w:szCs w:val="24"/>
        </w:rPr>
        <w:t xml:space="preserve"> (διάγραμμα 1</w:t>
      </w:r>
      <w:r w:rsidR="006463DA">
        <w:rPr>
          <w:rFonts w:ascii="Times New Roman" w:hAnsi="Times New Roman"/>
          <w:sz w:val="24"/>
          <w:szCs w:val="24"/>
        </w:rPr>
        <w:t>1</w:t>
      </w:r>
      <w:r w:rsidR="002E3D01">
        <w:rPr>
          <w:rFonts w:ascii="Times New Roman" w:hAnsi="Times New Roman"/>
          <w:sz w:val="24"/>
          <w:szCs w:val="24"/>
        </w:rPr>
        <w:t>)</w:t>
      </w:r>
      <w:r w:rsidR="001E69B3" w:rsidRPr="00C75ED4">
        <w:rPr>
          <w:rFonts w:ascii="Times New Roman" w:hAnsi="Times New Roman"/>
          <w:sz w:val="24"/>
          <w:szCs w:val="24"/>
        </w:rPr>
        <w:t xml:space="preserve">. </w:t>
      </w:r>
      <w:r w:rsidR="00B050CA" w:rsidRPr="00C75ED4">
        <w:rPr>
          <w:rFonts w:ascii="Times New Roman" w:hAnsi="Times New Roman"/>
          <w:sz w:val="24"/>
          <w:szCs w:val="24"/>
        </w:rPr>
        <w:t>Λόγω έλλειψη</w:t>
      </w:r>
      <w:r w:rsidRPr="00C75ED4">
        <w:rPr>
          <w:rFonts w:ascii="Times New Roman" w:hAnsi="Times New Roman"/>
          <w:sz w:val="24"/>
          <w:szCs w:val="24"/>
        </w:rPr>
        <w:t>ς</w:t>
      </w:r>
      <w:r w:rsidR="00B050CA" w:rsidRPr="00C75ED4">
        <w:rPr>
          <w:rFonts w:ascii="Times New Roman" w:hAnsi="Times New Roman"/>
          <w:sz w:val="24"/>
          <w:szCs w:val="24"/>
        </w:rPr>
        <w:t xml:space="preserve"> συγκριτικών στοιχείων αφού είναι η πρώτη φορά που διεξάγεται έρευνα μόνο στις επιχειρήσεων των ΑΚΕ, θα ήταν αρκετά αισιόδοξο να αναφερόταν ότι το εύρημα αυτό, επιβεβαιώνει  την αποτελεσματικότητα του θεσμού. </w:t>
      </w:r>
      <w:r w:rsidR="00294BD8" w:rsidRPr="00C75ED4">
        <w:rPr>
          <w:rFonts w:ascii="Times New Roman" w:hAnsi="Times New Roman"/>
          <w:sz w:val="24"/>
          <w:szCs w:val="24"/>
        </w:rPr>
        <w:t>Παρ</w:t>
      </w:r>
      <w:r w:rsidR="001E69B3" w:rsidRPr="00C75ED4">
        <w:rPr>
          <w:rFonts w:ascii="Times New Roman" w:hAnsi="Times New Roman"/>
          <w:sz w:val="24"/>
          <w:szCs w:val="24"/>
        </w:rPr>
        <w:t xml:space="preserve">όλα αυτά είναι μία τάση η οποία μένει να επαληθευτεί στο μέλλον. </w:t>
      </w:r>
    </w:p>
    <w:p w:rsidR="009978C3" w:rsidRPr="00B050CA" w:rsidRDefault="009978C3" w:rsidP="00E06593">
      <w:pPr>
        <w:spacing w:before="120" w:after="0" w:line="240" w:lineRule="auto"/>
        <w:jc w:val="both"/>
        <w:rPr>
          <w:rFonts w:ascii="Times New Roman" w:hAnsi="Times New Roman" w:cs="Times New Roman"/>
          <w:sz w:val="25"/>
          <w:szCs w:val="25"/>
          <w:highlight w:val="yellow"/>
        </w:rPr>
      </w:pPr>
    </w:p>
    <w:p w:rsidR="00AA29D2" w:rsidRDefault="00E60B0B" w:rsidP="00EC608F">
      <w:pPr>
        <w:pStyle w:val="p2"/>
        <w:spacing w:before="120"/>
        <w:rPr>
          <w:rStyle w:val="s1"/>
          <w:rFonts w:ascii="Times New Roman" w:hAnsi="Times New Roman"/>
          <w:sz w:val="24"/>
          <w:szCs w:val="24"/>
        </w:rPr>
      </w:pPr>
      <w:r w:rsidRPr="00E60B0B">
        <w:rPr>
          <w:rStyle w:val="s1"/>
          <w:rFonts w:ascii="Times New Roman" w:hAnsi="Times New Roman"/>
          <w:noProof/>
          <w:sz w:val="24"/>
          <w:szCs w:val="24"/>
        </w:rPr>
        <w:drawing>
          <wp:inline distT="0" distB="0" distL="0" distR="0">
            <wp:extent cx="5337810" cy="2874633"/>
            <wp:effectExtent l="19050" t="0" r="15240" b="1917"/>
            <wp:docPr id="21" name="Γράφημα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29D2" w:rsidRDefault="00AA29D2" w:rsidP="00EC608F">
      <w:pPr>
        <w:pStyle w:val="p2"/>
        <w:spacing w:before="120"/>
        <w:rPr>
          <w:rStyle w:val="s1"/>
          <w:rFonts w:ascii="Times New Roman" w:hAnsi="Times New Roman"/>
          <w:sz w:val="24"/>
          <w:szCs w:val="24"/>
        </w:rPr>
      </w:pPr>
    </w:p>
    <w:p w:rsidR="00AA29D2" w:rsidRDefault="00AA29D2" w:rsidP="00EC608F">
      <w:pPr>
        <w:pStyle w:val="p2"/>
        <w:spacing w:before="120"/>
        <w:rPr>
          <w:rStyle w:val="s1"/>
          <w:rFonts w:ascii="Times New Roman" w:hAnsi="Times New Roman"/>
          <w:sz w:val="24"/>
          <w:szCs w:val="24"/>
        </w:rPr>
      </w:pPr>
    </w:p>
    <w:p w:rsidR="00AA29D2" w:rsidRDefault="002E3D01" w:rsidP="00EC608F">
      <w:pPr>
        <w:pStyle w:val="p2"/>
        <w:spacing w:before="120"/>
        <w:rPr>
          <w:rStyle w:val="s1"/>
          <w:rFonts w:ascii="Times New Roman" w:hAnsi="Times New Roman"/>
          <w:sz w:val="24"/>
          <w:szCs w:val="24"/>
        </w:rPr>
      </w:pPr>
      <w:r w:rsidRPr="002E3D01">
        <w:rPr>
          <w:rStyle w:val="s1"/>
          <w:rFonts w:ascii="Times New Roman" w:hAnsi="Times New Roman"/>
          <w:noProof/>
          <w:sz w:val="24"/>
          <w:szCs w:val="24"/>
        </w:rPr>
        <w:drawing>
          <wp:inline distT="0" distB="0" distL="0" distR="0">
            <wp:extent cx="5337810" cy="2757869"/>
            <wp:effectExtent l="19050" t="0" r="15240" b="4381"/>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A29D2" w:rsidRDefault="00AA29D2" w:rsidP="00EC608F">
      <w:pPr>
        <w:pStyle w:val="p2"/>
        <w:spacing w:before="120"/>
        <w:rPr>
          <w:rStyle w:val="s1"/>
          <w:rFonts w:ascii="Times New Roman" w:hAnsi="Times New Roman"/>
          <w:sz w:val="24"/>
          <w:szCs w:val="24"/>
        </w:rPr>
      </w:pPr>
    </w:p>
    <w:p w:rsidR="001E69B3" w:rsidRDefault="001E69B3" w:rsidP="001E69B3">
      <w:pPr>
        <w:pStyle w:val="p2"/>
        <w:spacing w:before="120"/>
        <w:rPr>
          <w:rStyle w:val="s1"/>
          <w:rFonts w:ascii="Times New Roman" w:hAnsi="Times New Roman"/>
          <w:sz w:val="24"/>
          <w:szCs w:val="24"/>
        </w:rPr>
      </w:pPr>
      <w:r>
        <w:rPr>
          <w:rStyle w:val="s1"/>
          <w:rFonts w:ascii="Times New Roman" w:hAnsi="Times New Roman"/>
          <w:sz w:val="24"/>
          <w:szCs w:val="24"/>
        </w:rPr>
        <w:lastRenderedPageBreak/>
        <w:t>Και για τις επιχειρήσε</w:t>
      </w:r>
      <w:r w:rsidR="006463DA">
        <w:rPr>
          <w:rStyle w:val="s1"/>
          <w:rFonts w:ascii="Times New Roman" w:hAnsi="Times New Roman"/>
          <w:sz w:val="24"/>
          <w:szCs w:val="24"/>
        </w:rPr>
        <w:t>ις</w:t>
      </w:r>
      <w:r>
        <w:rPr>
          <w:rStyle w:val="s1"/>
          <w:rFonts w:ascii="Times New Roman" w:hAnsi="Times New Roman"/>
          <w:sz w:val="24"/>
          <w:szCs w:val="24"/>
        </w:rPr>
        <w:t xml:space="preserve"> των ΑΚΕ, όπως ήταν αναμενόμενο, η πρώτη περίοδος των εκπτώσεων  κρίνεται ως καλύτερ</w:t>
      </w:r>
      <w:r w:rsidR="006463DA">
        <w:rPr>
          <w:rStyle w:val="s1"/>
          <w:rFonts w:ascii="Times New Roman" w:hAnsi="Times New Roman"/>
          <w:sz w:val="24"/>
          <w:szCs w:val="24"/>
        </w:rPr>
        <w:t>η</w:t>
      </w:r>
      <w:r>
        <w:rPr>
          <w:rStyle w:val="s1"/>
          <w:rFonts w:ascii="Times New Roman" w:hAnsi="Times New Roman"/>
          <w:sz w:val="24"/>
          <w:szCs w:val="24"/>
        </w:rPr>
        <w:t xml:space="preserve"> από άποψη αγοραστικής κίνησης. </w:t>
      </w:r>
    </w:p>
    <w:p w:rsidR="00AA29D2" w:rsidRDefault="00AA29D2" w:rsidP="00EC608F">
      <w:pPr>
        <w:pStyle w:val="p2"/>
        <w:spacing w:before="120"/>
        <w:rPr>
          <w:rStyle w:val="s1"/>
          <w:rFonts w:ascii="Times New Roman" w:hAnsi="Times New Roman"/>
          <w:sz w:val="24"/>
          <w:szCs w:val="24"/>
        </w:rPr>
      </w:pPr>
    </w:p>
    <w:p w:rsidR="00AA29D2" w:rsidRDefault="005B0F0E" w:rsidP="00EC608F">
      <w:pPr>
        <w:pStyle w:val="p2"/>
        <w:spacing w:before="120"/>
        <w:rPr>
          <w:rStyle w:val="s1"/>
          <w:rFonts w:ascii="Times New Roman" w:hAnsi="Times New Roman"/>
          <w:sz w:val="24"/>
          <w:szCs w:val="24"/>
        </w:rPr>
      </w:pPr>
      <w:r w:rsidRPr="005B0F0E">
        <w:rPr>
          <w:rStyle w:val="s1"/>
          <w:rFonts w:ascii="Times New Roman" w:hAnsi="Times New Roman"/>
          <w:noProof/>
          <w:sz w:val="24"/>
          <w:szCs w:val="24"/>
        </w:rPr>
        <w:drawing>
          <wp:inline distT="0" distB="0" distL="0" distR="0">
            <wp:extent cx="5337810" cy="3735849"/>
            <wp:effectExtent l="19050" t="0" r="15240" b="0"/>
            <wp:docPr id="3"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29D2" w:rsidRDefault="00AA29D2" w:rsidP="00EC608F">
      <w:pPr>
        <w:pStyle w:val="p2"/>
        <w:spacing w:before="120"/>
        <w:rPr>
          <w:rStyle w:val="s1"/>
          <w:rFonts w:ascii="Times New Roman" w:hAnsi="Times New Roman"/>
          <w:sz w:val="24"/>
          <w:szCs w:val="24"/>
        </w:rPr>
      </w:pPr>
    </w:p>
    <w:p w:rsidR="00B050CA" w:rsidRDefault="00B050CA" w:rsidP="00EC608F">
      <w:pPr>
        <w:pStyle w:val="p2"/>
        <w:spacing w:before="120"/>
        <w:rPr>
          <w:rStyle w:val="s1"/>
          <w:rFonts w:ascii="Times New Roman" w:hAnsi="Times New Roman"/>
          <w:sz w:val="24"/>
          <w:szCs w:val="24"/>
        </w:rPr>
      </w:pPr>
    </w:p>
    <w:p w:rsidR="00AA29D2" w:rsidRDefault="00E60B0B" w:rsidP="00EC608F">
      <w:pPr>
        <w:pStyle w:val="p2"/>
        <w:spacing w:before="120"/>
        <w:rPr>
          <w:rStyle w:val="s1"/>
          <w:rFonts w:ascii="Times New Roman" w:hAnsi="Times New Roman"/>
          <w:sz w:val="24"/>
          <w:szCs w:val="24"/>
        </w:rPr>
      </w:pPr>
      <w:r w:rsidRPr="00E60B0B">
        <w:rPr>
          <w:rStyle w:val="s1"/>
          <w:rFonts w:ascii="Times New Roman" w:hAnsi="Times New Roman"/>
          <w:noProof/>
          <w:sz w:val="24"/>
          <w:szCs w:val="24"/>
        </w:rPr>
        <w:drawing>
          <wp:inline distT="0" distB="0" distL="0" distR="0">
            <wp:extent cx="5337810" cy="2225323"/>
            <wp:effectExtent l="19050" t="0" r="15240" b="3527"/>
            <wp:docPr id="26" name="Γράφημα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E69B3" w:rsidRPr="00632ABB" w:rsidRDefault="001E69B3" w:rsidP="00EC608F">
      <w:pPr>
        <w:pStyle w:val="p2"/>
        <w:spacing w:before="120"/>
        <w:rPr>
          <w:rStyle w:val="s1"/>
          <w:rFonts w:ascii="Times New Roman" w:hAnsi="Times New Roman"/>
          <w:sz w:val="24"/>
          <w:szCs w:val="24"/>
        </w:rPr>
      </w:pPr>
    </w:p>
    <w:p w:rsidR="001E69B3" w:rsidRDefault="001E69B3" w:rsidP="001E69B3">
      <w:pPr>
        <w:pStyle w:val="p2"/>
        <w:spacing w:before="120"/>
        <w:jc w:val="both"/>
        <w:rPr>
          <w:rStyle w:val="s1"/>
          <w:rFonts w:ascii="Times New Roman" w:hAnsi="Times New Roman"/>
          <w:sz w:val="24"/>
          <w:szCs w:val="24"/>
        </w:rPr>
      </w:pPr>
      <w:r>
        <w:rPr>
          <w:rStyle w:val="s1"/>
          <w:rFonts w:ascii="Times New Roman" w:hAnsi="Times New Roman"/>
          <w:sz w:val="24"/>
          <w:szCs w:val="24"/>
        </w:rPr>
        <w:t xml:space="preserve">Οι επιχειρήσεις των ΑΚΕ σε σύγκριση με τις υπόλοιπες επιχειρήσεις επέλεξαν να λειτουργήσουν την Κυριακή των θερινών εκπτώσεων, μία στάση αναμενόμενη αφού πρόκειται για επιχειρήσεις που λειτουργούν στα κέντρα των πόλεων με συγκριτικό πλεονέκτημα αναφορικά με την επισκεψιμότητα των καταναλωτών. </w:t>
      </w:r>
      <w:r w:rsidR="00632ABB">
        <w:rPr>
          <w:rStyle w:val="s1"/>
          <w:rFonts w:ascii="Times New Roman" w:hAnsi="Times New Roman"/>
          <w:sz w:val="24"/>
          <w:szCs w:val="24"/>
        </w:rPr>
        <w:t xml:space="preserve"> Μοναδική εξαίρεση στην παραπάνω τάση αποτέλεσμα των ΑΚΕ της Πάτρας, όπου μόλις 1 στους 5 άνοιξε την επιχείρησή του. </w:t>
      </w:r>
    </w:p>
    <w:p w:rsidR="001E69B3" w:rsidRDefault="001E69B3" w:rsidP="00EC608F">
      <w:pPr>
        <w:pStyle w:val="p2"/>
        <w:spacing w:before="120"/>
        <w:rPr>
          <w:rStyle w:val="s1"/>
          <w:rFonts w:ascii="Times New Roman" w:hAnsi="Times New Roman"/>
          <w:sz w:val="24"/>
          <w:szCs w:val="24"/>
        </w:rPr>
      </w:pPr>
    </w:p>
    <w:p w:rsidR="00AA29D2" w:rsidRDefault="00E60B0B" w:rsidP="00EC608F">
      <w:pPr>
        <w:pStyle w:val="p2"/>
        <w:spacing w:before="120"/>
        <w:rPr>
          <w:rStyle w:val="s1"/>
          <w:rFonts w:ascii="Times New Roman" w:hAnsi="Times New Roman"/>
          <w:sz w:val="24"/>
          <w:szCs w:val="24"/>
        </w:rPr>
      </w:pPr>
      <w:r w:rsidRPr="00E60B0B">
        <w:rPr>
          <w:rStyle w:val="s1"/>
          <w:rFonts w:ascii="Times New Roman" w:hAnsi="Times New Roman"/>
          <w:noProof/>
          <w:sz w:val="24"/>
          <w:szCs w:val="24"/>
        </w:rPr>
        <w:lastRenderedPageBreak/>
        <w:drawing>
          <wp:inline distT="0" distB="0" distL="0" distR="0">
            <wp:extent cx="5330072" cy="2147777"/>
            <wp:effectExtent l="19050" t="0" r="22978" b="4873"/>
            <wp:docPr id="27" name="Γράφημα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A29D2" w:rsidRDefault="00AA29D2" w:rsidP="00EC608F">
      <w:pPr>
        <w:pStyle w:val="p2"/>
        <w:spacing w:before="120"/>
        <w:rPr>
          <w:rStyle w:val="s1"/>
          <w:rFonts w:ascii="Times New Roman" w:hAnsi="Times New Roman"/>
          <w:sz w:val="24"/>
          <w:szCs w:val="24"/>
        </w:rPr>
      </w:pPr>
    </w:p>
    <w:p w:rsidR="001E69B3" w:rsidRPr="006463DA" w:rsidRDefault="006463DA" w:rsidP="00EC608F">
      <w:pPr>
        <w:pStyle w:val="p2"/>
        <w:spacing w:before="120"/>
        <w:rPr>
          <w:rStyle w:val="s1"/>
          <w:rFonts w:ascii="Times New Roman" w:hAnsi="Times New Roman"/>
          <w:sz w:val="24"/>
          <w:szCs w:val="24"/>
        </w:rPr>
      </w:pPr>
      <w:r>
        <w:rPr>
          <w:rStyle w:val="s1"/>
          <w:rFonts w:ascii="Times New Roman" w:hAnsi="Times New Roman"/>
          <w:sz w:val="24"/>
          <w:szCs w:val="24"/>
        </w:rPr>
        <w:t>Παρ</w:t>
      </w:r>
      <w:r w:rsidR="001E69B3">
        <w:rPr>
          <w:rStyle w:val="s1"/>
          <w:rFonts w:ascii="Times New Roman" w:hAnsi="Times New Roman"/>
          <w:sz w:val="24"/>
          <w:szCs w:val="24"/>
        </w:rPr>
        <w:t>όλα αυτά, έχει αρκετά ενδιαφέρον η αποτύπωση της άποψης τους για την πορεία του τζίρου της και γενικότερα τον τρόπο λειτουργίας την Κυριακή. Συνοπτικά</w:t>
      </w:r>
      <w:r w:rsidR="001E69B3" w:rsidRPr="006463DA">
        <w:rPr>
          <w:rStyle w:val="s1"/>
          <w:rFonts w:ascii="Times New Roman" w:hAnsi="Times New Roman"/>
          <w:sz w:val="24"/>
          <w:szCs w:val="24"/>
        </w:rPr>
        <w:t>:</w:t>
      </w:r>
    </w:p>
    <w:p w:rsidR="001E69B3" w:rsidRPr="006463DA" w:rsidRDefault="001E69B3" w:rsidP="00EC608F">
      <w:pPr>
        <w:pStyle w:val="p2"/>
        <w:spacing w:before="120"/>
        <w:rPr>
          <w:rStyle w:val="s1"/>
          <w:rFonts w:ascii="Times New Roman" w:hAnsi="Times New Roman"/>
          <w:sz w:val="24"/>
          <w:szCs w:val="24"/>
        </w:rPr>
      </w:pPr>
    </w:p>
    <w:p w:rsidR="001E69B3" w:rsidRDefault="001E69B3" w:rsidP="00405DA0">
      <w:pPr>
        <w:pStyle w:val="p2"/>
        <w:numPr>
          <w:ilvl w:val="0"/>
          <w:numId w:val="24"/>
        </w:numPr>
        <w:spacing w:before="120"/>
        <w:rPr>
          <w:rStyle w:val="s1"/>
          <w:rFonts w:ascii="Times New Roman" w:hAnsi="Times New Roman"/>
          <w:sz w:val="24"/>
          <w:szCs w:val="24"/>
        </w:rPr>
      </w:pPr>
      <w:r>
        <w:rPr>
          <w:rStyle w:val="s1"/>
          <w:rFonts w:ascii="Times New Roman" w:hAnsi="Times New Roman"/>
          <w:sz w:val="24"/>
          <w:szCs w:val="24"/>
        </w:rPr>
        <w:t>Για  το 86% των επιχειρήσεων το άνοιγμα της Κυριακή δεν επηρέασε το τζίρο της εκπτωτικής περιόδου</w:t>
      </w:r>
      <w:r w:rsidR="00C75ED4">
        <w:rPr>
          <w:rStyle w:val="s1"/>
          <w:rFonts w:ascii="Times New Roman" w:hAnsi="Times New Roman"/>
          <w:sz w:val="24"/>
          <w:szCs w:val="24"/>
        </w:rPr>
        <w:t>.</w:t>
      </w:r>
    </w:p>
    <w:p w:rsidR="00405DA0" w:rsidRDefault="001E69B3" w:rsidP="00405DA0">
      <w:pPr>
        <w:pStyle w:val="p2"/>
        <w:numPr>
          <w:ilvl w:val="0"/>
          <w:numId w:val="24"/>
        </w:numPr>
        <w:spacing w:before="120"/>
        <w:rPr>
          <w:rStyle w:val="s1"/>
          <w:rFonts w:ascii="Times New Roman" w:hAnsi="Times New Roman"/>
          <w:sz w:val="24"/>
          <w:szCs w:val="24"/>
        </w:rPr>
      </w:pPr>
      <w:r>
        <w:rPr>
          <w:rStyle w:val="s1"/>
          <w:rFonts w:ascii="Times New Roman" w:hAnsi="Times New Roman"/>
          <w:sz w:val="24"/>
          <w:szCs w:val="24"/>
        </w:rPr>
        <w:t xml:space="preserve">Για  το  90% των επιχειρήσεων το άνοιγμα της Κυριακής δεν έχει συμβάλλει στην </w:t>
      </w:r>
      <w:r w:rsidR="00405DA0">
        <w:rPr>
          <w:rStyle w:val="s1"/>
          <w:rFonts w:ascii="Times New Roman" w:hAnsi="Times New Roman"/>
          <w:sz w:val="24"/>
          <w:szCs w:val="24"/>
        </w:rPr>
        <w:t>επισκεψιμότητα του καταστήματος</w:t>
      </w:r>
      <w:r w:rsidR="00C75ED4">
        <w:rPr>
          <w:rStyle w:val="s1"/>
          <w:rFonts w:ascii="Times New Roman" w:hAnsi="Times New Roman"/>
          <w:sz w:val="24"/>
          <w:szCs w:val="24"/>
        </w:rPr>
        <w:t>.</w:t>
      </w:r>
    </w:p>
    <w:p w:rsidR="00405DA0" w:rsidRDefault="00632ABB" w:rsidP="00405DA0">
      <w:pPr>
        <w:pStyle w:val="p2"/>
        <w:numPr>
          <w:ilvl w:val="0"/>
          <w:numId w:val="24"/>
        </w:numPr>
        <w:spacing w:before="120"/>
        <w:rPr>
          <w:rStyle w:val="s1"/>
          <w:rFonts w:ascii="Times New Roman" w:hAnsi="Times New Roman"/>
          <w:sz w:val="24"/>
          <w:szCs w:val="24"/>
        </w:rPr>
      </w:pPr>
      <w:r>
        <w:rPr>
          <w:rStyle w:val="s1"/>
          <w:rFonts w:ascii="Times New Roman" w:hAnsi="Times New Roman"/>
          <w:sz w:val="24"/>
          <w:szCs w:val="24"/>
        </w:rPr>
        <w:t>Η</w:t>
      </w:r>
      <w:r w:rsidR="00405DA0">
        <w:rPr>
          <w:rStyle w:val="s1"/>
          <w:rFonts w:ascii="Times New Roman" w:hAnsi="Times New Roman"/>
          <w:sz w:val="24"/>
          <w:szCs w:val="24"/>
        </w:rPr>
        <w:t xml:space="preserve"> απόλυτη πλειοψηφία των επιχειρήσεων καλύπτει τις ανάγκες προσωπικού με προσωπική εργασία και δεν επιλέγει την πρόσληψη προσωπικού. </w:t>
      </w:r>
    </w:p>
    <w:p w:rsidR="00AA29D2" w:rsidRDefault="00AA29D2" w:rsidP="00EC608F">
      <w:pPr>
        <w:pStyle w:val="p2"/>
        <w:spacing w:before="120"/>
        <w:rPr>
          <w:rStyle w:val="s1"/>
          <w:rFonts w:ascii="Times New Roman" w:hAnsi="Times New Roman"/>
          <w:sz w:val="24"/>
          <w:szCs w:val="24"/>
        </w:rPr>
      </w:pPr>
    </w:p>
    <w:p w:rsidR="00CF1E5D" w:rsidRPr="00C75ED4" w:rsidRDefault="00CF1E5D" w:rsidP="00EC608F">
      <w:pPr>
        <w:pStyle w:val="p2"/>
        <w:spacing w:before="120"/>
        <w:rPr>
          <w:rStyle w:val="s1"/>
          <w:rFonts w:ascii="Times New Roman" w:hAnsi="Times New Roman"/>
          <w:b/>
          <w:sz w:val="24"/>
          <w:szCs w:val="24"/>
        </w:rPr>
      </w:pPr>
      <w:r w:rsidRPr="00C75ED4">
        <w:rPr>
          <w:rStyle w:val="s1"/>
          <w:rFonts w:ascii="Times New Roman" w:hAnsi="Times New Roman"/>
          <w:b/>
          <w:sz w:val="24"/>
          <w:szCs w:val="24"/>
        </w:rPr>
        <w:t>Ο πρόεδρος της ΕΣΕΕ, κ. Βασίλης Κορκίδης δήλωσε τα εξής:</w:t>
      </w:r>
    </w:p>
    <w:p w:rsidR="00925115" w:rsidRPr="00CF6AB6" w:rsidRDefault="00925115" w:rsidP="00925115">
      <w:pPr>
        <w:pStyle w:val="p1"/>
        <w:jc w:val="both"/>
        <w:rPr>
          <w:rFonts w:ascii="Times New Roman" w:hAnsi="Times New Roman"/>
          <w:i/>
          <w:color w:val="auto"/>
          <w:sz w:val="24"/>
          <w:szCs w:val="24"/>
        </w:rPr>
      </w:pPr>
      <w:r w:rsidRPr="00CF6AB6">
        <w:rPr>
          <w:rStyle w:val="s1"/>
          <w:rFonts w:ascii="Times New Roman" w:hAnsi="Times New Roman"/>
          <w:i/>
          <w:color w:val="auto"/>
          <w:sz w:val="24"/>
          <w:szCs w:val="24"/>
        </w:rPr>
        <w:t>«Η φετινή θερινή εκπτωτική περίοδος, σε αντιδιαστολή με τις προσδοκίες που είχαν δημιουργηθεί στις αρχές του καλοκαιριού, δεν κατόρθωσε τελικά</w:t>
      </w:r>
      <w:r w:rsidRPr="00CF6AB6">
        <w:rPr>
          <w:rStyle w:val="apple-converted-space"/>
          <w:rFonts w:ascii="Times New Roman" w:hAnsi="Times New Roman"/>
          <w:i/>
          <w:color w:val="auto"/>
          <w:sz w:val="24"/>
          <w:szCs w:val="24"/>
        </w:rPr>
        <w:t xml:space="preserve">  </w:t>
      </w:r>
      <w:r w:rsidRPr="00CF6AB6">
        <w:rPr>
          <w:rStyle w:val="s1"/>
          <w:rFonts w:ascii="Times New Roman" w:hAnsi="Times New Roman"/>
          <w:i/>
          <w:color w:val="auto"/>
          <w:sz w:val="24"/>
          <w:szCs w:val="24"/>
        </w:rPr>
        <w:t>να αποτελέσει το σημείο καμπής και ανάκαμψης για το ελληνικό εμπόριο. Η αυξημένη τουριστική κίνηση στη διάρκεια του Ιουλίου και του Αυγούστου επίσης δεν κατάφερε να αποφέρει τα αναμενόμενα έσοδα στον κλάδο του Εμπορίου και να τονώσει τον τζίρο στις περιοχές υψηλής επισκεψιμότητας. Οι υφιστάμενες αλλά και οι επικείμενες φορολογικές υποχρεώσεις φαίνεται πως διαδραμάτισαν καθοριστικό παράγοντα στη</w:t>
      </w:r>
      <w:r>
        <w:rPr>
          <w:rStyle w:val="s1"/>
          <w:rFonts w:ascii="Times New Roman" w:hAnsi="Times New Roman"/>
          <w:i/>
          <w:color w:val="auto"/>
          <w:sz w:val="24"/>
          <w:szCs w:val="24"/>
        </w:rPr>
        <w:t xml:space="preserve">ν </w:t>
      </w:r>
      <w:r w:rsidRPr="00C5640C">
        <w:rPr>
          <w:rStyle w:val="s1"/>
          <w:rFonts w:ascii="Times New Roman" w:hAnsi="Times New Roman"/>
          <w:b/>
          <w:i/>
          <w:color w:val="auto"/>
          <w:sz w:val="24"/>
          <w:szCs w:val="24"/>
        </w:rPr>
        <w:t>αδυναμία και διστακτικότητα που επέδειξε το καταναλωτικό κοινό</w:t>
      </w:r>
      <w:r w:rsidRPr="00CF6AB6">
        <w:rPr>
          <w:rStyle w:val="s1"/>
          <w:rFonts w:ascii="Times New Roman" w:hAnsi="Times New Roman"/>
          <w:i/>
          <w:color w:val="auto"/>
          <w:sz w:val="24"/>
          <w:szCs w:val="24"/>
        </w:rPr>
        <w:t xml:space="preserve"> στα κοινώς ομολογουμένως υψηλά ποσοστά εκπτώσεων που προέβησαν οι εμπορικές επιχειρήσεις. Παραδόξως, η βελτίωση σε όλους τους κλάδους της οικονομίας μας, που καταγράφηκε τον Αύγουστο, στα αποτελέσματα της μηνιαίας έρευνας της Ευρωπαϊκής Επιτροπής δεν αποτυπώνεται πουθενά στην έρευνα μας. Μπορεί τον Αύγουστο, ο δείκτης οικονομικού κλίματος (</w:t>
      </w:r>
      <w:proofErr w:type="spellStart"/>
      <w:r w:rsidRPr="00CF6AB6">
        <w:rPr>
          <w:rStyle w:val="s1"/>
          <w:rFonts w:ascii="Times New Roman" w:hAnsi="Times New Roman"/>
          <w:i/>
          <w:color w:val="auto"/>
          <w:sz w:val="24"/>
          <w:szCs w:val="24"/>
        </w:rPr>
        <w:t>economic</w:t>
      </w:r>
      <w:proofErr w:type="spellEnd"/>
      <w:r w:rsidRPr="00CF6AB6">
        <w:rPr>
          <w:rStyle w:val="s1"/>
          <w:rFonts w:ascii="Times New Roman" w:hAnsi="Times New Roman"/>
          <w:i/>
          <w:color w:val="auto"/>
          <w:sz w:val="24"/>
          <w:szCs w:val="24"/>
        </w:rPr>
        <w:t xml:space="preserve"> </w:t>
      </w:r>
      <w:proofErr w:type="spellStart"/>
      <w:r w:rsidRPr="00CF6AB6">
        <w:rPr>
          <w:rStyle w:val="s1"/>
          <w:rFonts w:ascii="Times New Roman" w:hAnsi="Times New Roman"/>
          <w:i/>
          <w:color w:val="auto"/>
          <w:sz w:val="24"/>
          <w:szCs w:val="24"/>
        </w:rPr>
        <w:t>sentiment</w:t>
      </w:r>
      <w:proofErr w:type="spellEnd"/>
      <w:r w:rsidRPr="00CF6AB6">
        <w:rPr>
          <w:rStyle w:val="s1"/>
          <w:rFonts w:ascii="Times New Roman" w:hAnsi="Times New Roman"/>
          <w:i/>
          <w:color w:val="auto"/>
          <w:sz w:val="24"/>
          <w:szCs w:val="24"/>
        </w:rPr>
        <w:t xml:space="preserve"> </w:t>
      </w:r>
      <w:proofErr w:type="spellStart"/>
      <w:r w:rsidRPr="00CF6AB6">
        <w:rPr>
          <w:rStyle w:val="s1"/>
          <w:rFonts w:ascii="Times New Roman" w:hAnsi="Times New Roman"/>
          <w:i/>
          <w:color w:val="auto"/>
          <w:sz w:val="24"/>
          <w:szCs w:val="24"/>
        </w:rPr>
        <w:t>indicator</w:t>
      </w:r>
      <w:proofErr w:type="spellEnd"/>
      <w:r w:rsidRPr="00CF6AB6">
        <w:rPr>
          <w:rStyle w:val="s1"/>
          <w:rFonts w:ascii="Times New Roman" w:hAnsi="Times New Roman"/>
          <w:i/>
          <w:color w:val="auto"/>
          <w:sz w:val="24"/>
          <w:szCs w:val="24"/>
        </w:rPr>
        <w:t xml:space="preserve">, ESI) να αυξήθηκε στις 92,5 μονάδες από 90,9 τον Ιούλιο και 89,7 τον Ιούνιο, καταγράφοντας την υψηλότερη τιμή του τελευταίου 12μήνου, αλλά προφανώς αυτό δεν επαρκεί για να συνέλθει η ελληνική αγορά. Φυσικά, η περσινή εκπτωτική περίοδος δεν μπορεί να αποτελέσει βάση αναφοράς και διεξαγωγής χρήσιμων συμπερασμάτων, από τη στιγμή που οι επιπτώσεις των </w:t>
      </w:r>
      <w:proofErr w:type="spellStart"/>
      <w:r w:rsidRPr="00CF6AB6">
        <w:rPr>
          <w:rStyle w:val="s1"/>
          <w:rFonts w:ascii="Times New Roman" w:hAnsi="Times New Roman"/>
          <w:i/>
          <w:color w:val="auto"/>
          <w:sz w:val="24"/>
          <w:szCs w:val="24"/>
        </w:rPr>
        <w:t>Capital</w:t>
      </w:r>
      <w:proofErr w:type="spellEnd"/>
      <w:r w:rsidRPr="00CF6AB6">
        <w:rPr>
          <w:rStyle w:val="s1"/>
          <w:rFonts w:ascii="Times New Roman" w:hAnsi="Times New Roman"/>
          <w:i/>
          <w:color w:val="auto"/>
          <w:sz w:val="24"/>
          <w:szCs w:val="24"/>
        </w:rPr>
        <w:t xml:space="preserve"> </w:t>
      </w:r>
      <w:proofErr w:type="spellStart"/>
      <w:r w:rsidRPr="00CF6AB6">
        <w:rPr>
          <w:rStyle w:val="s1"/>
          <w:rFonts w:ascii="Times New Roman" w:hAnsi="Times New Roman"/>
          <w:i/>
          <w:color w:val="auto"/>
          <w:sz w:val="24"/>
          <w:szCs w:val="24"/>
        </w:rPr>
        <w:t>Controls</w:t>
      </w:r>
      <w:proofErr w:type="spellEnd"/>
      <w:r w:rsidRPr="00CF6AB6">
        <w:rPr>
          <w:rStyle w:val="s1"/>
          <w:rFonts w:ascii="Times New Roman" w:hAnsi="Times New Roman"/>
          <w:i/>
          <w:color w:val="auto"/>
          <w:sz w:val="24"/>
          <w:szCs w:val="24"/>
        </w:rPr>
        <w:t xml:space="preserve"> είναι ακόμη αισθητές σε επιχειρήσεις και καταναλωτές. Τέλος, παρά τη νηνεμία μεταξύ πρώτης και δεύτερης αξιολόγησης, </w:t>
      </w:r>
      <w:r w:rsidRPr="00C5640C">
        <w:rPr>
          <w:rStyle w:val="s1"/>
          <w:rFonts w:ascii="Times New Roman" w:hAnsi="Times New Roman"/>
          <w:b/>
          <w:i/>
          <w:color w:val="auto"/>
          <w:sz w:val="24"/>
          <w:szCs w:val="24"/>
        </w:rPr>
        <w:t>η πτωτική πορεία των θερινών</w:t>
      </w:r>
      <w:r w:rsidRPr="00C5640C">
        <w:rPr>
          <w:rStyle w:val="apple-converted-space"/>
          <w:rFonts w:ascii="Times New Roman" w:hAnsi="Times New Roman"/>
          <w:b/>
          <w:i/>
          <w:color w:val="auto"/>
          <w:sz w:val="24"/>
          <w:szCs w:val="24"/>
        </w:rPr>
        <w:t xml:space="preserve">  </w:t>
      </w:r>
      <w:r w:rsidRPr="00C5640C">
        <w:rPr>
          <w:rStyle w:val="s1"/>
          <w:rFonts w:ascii="Times New Roman" w:hAnsi="Times New Roman"/>
          <w:b/>
          <w:i/>
          <w:color w:val="auto"/>
          <w:sz w:val="24"/>
          <w:szCs w:val="24"/>
        </w:rPr>
        <w:t xml:space="preserve">εκπτώσεων ακολούθησε το </w:t>
      </w:r>
      <w:proofErr w:type="spellStart"/>
      <w:r w:rsidRPr="00C5640C">
        <w:rPr>
          <w:rStyle w:val="s1"/>
          <w:rFonts w:ascii="Times New Roman" w:hAnsi="Times New Roman"/>
          <w:b/>
          <w:i/>
          <w:color w:val="auto"/>
          <w:sz w:val="24"/>
          <w:szCs w:val="24"/>
        </w:rPr>
        <w:t>υφεσιακό</w:t>
      </w:r>
      <w:proofErr w:type="spellEnd"/>
      <w:r w:rsidRPr="00C5640C">
        <w:rPr>
          <w:rStyle w:val="s1"/>
          <w:rFonts w:ascii="Times New Roman" w:hAnsi="Times New Roman"/>
          <w:b/>
          <w:i/>
          <w:color w:val="auto"/>
          <w:sz w:val="24"/>
          <w:szCs w:val="24"/>
        </w:rPr>
        <w:t xml:space="preserve"> κλίμα και επιβεβαίωσε ότι οι υπερβολικοί φόροι στράγγιξαν τη</w:t>
      </w:r>
      <w:r>
        <w:rPr>
          <w:rStyle w:val="s1"/>
          <w:rFonts w:ascii="Times New Roman" w:hAnsi="Times New Roman"/>
          <w:b/>
          <w:i/>
          <w:color w:val="auto"/>
          <w:sz w:val="24"/>
          <w:szCs w:val="24"/>
        </w:rPr>
        <w:t>ν</w:t>
      </w:r>
      <w:r w:rsidRPr="00C5640C">
        <w:rPr>
          <w:rStyle w:val="s1"/>
          <w:rFonts w:ascii="Times New Roman" w:hAnsi="Times New Roman"/>
          <w:b/>
          <w:i/>
          <w:color w:val="auto"/>
          <w:sz w:val="24"/>
          <w:szCs w:val="24"/>
        </w:rPr>
        <w:t xml:space="preserve"> κατανάλωση.</w:t>
      </w:r>
      <w:r w:rsidRPr="00CF6AB6">
        <w:rPr>
          <w:rStyle w:val="s1"/>
          <w:rFonts w:ascii="Times New Roman" w:hAnsi="Times New Roman"/>
          <w:i/>
          <w:color w:val="auto"/>
          <w:sz w:val="24"/>
          <w:szCs w:val="24"/>
        </w:rPr>
        <w:t xml:space="preserve"> Τα αποτελέσματα της έρευνας του ΙΝΕΜΥ της ΕΣΕΕ κατέγραψαν μία ακόμα μείωση του τζίρου κατά -9,7% και δυστυχώς επιβεβαιώνουν ότι ούτε οι φετινές καλοκαιρινές εκπτώσεις κατάφεραν να αντιστρέψουν το παγιωμένο υποτονικό κλίμα στην Αγορά».</w:t>
      </w:r>
    </w:p>
    <w:p w:rsidR="004F0261" w:rsidRPr="00294BD8" w:rsidRDefault="004F0261" w:rsidP="00EC608F">
      <w:pPr>
        <w:pStyle w:val="p2"/>
        <w:spacing w:before="120"/>
        <w:rPr>
          <w:rFonts w:ascii="Times New Roman" w:hAnsi="Times New Roman"/>
          <w:sz w:val="24"/>
          <w:szCs w:val="24"/>
        </w:rPr>
      </w:pPr>
    </w:p>
    <w:p w:rsidR="00364DC5" w:rsidRPr="005F591A" w:rsidRDefault="00364DC5" w:rsidP="00CF1E5D">
      <w:pPr>
        <w:jc w:val="both"/>
      </w:pPr>
    </w:p>
    <w:tbl>
      <w:tblPr>
        <w:tblW w:w="8918" w:type="dxa"/>
        <w:tblInd w:w="93" w:type="dxa"/>
        <w:tblLook w:val="04A0"/>
      </w:tblPr>
      <w:tblGrid>
        <w:gridCol w:w="3968"/>
        <w:gridCol w:w="4950"/>
      </w:tblGrid>
      <w:tr w:rsidR="00764F00" w:rsidRPr="00514C06" w:rsidTr="00294BD8">
        <w:trPr>
          <w:trHeight w:val="20"/>
        </w:trPr>
        <w:tc>
          <w:tcPr>
            <w:tcW w:w="8918" w:type="dxa"/>
            <w:gridSpan w:val="2"/>
            <w:tcBorders>
              <w:top w:val="single" w:sz="8" w:space="0" w:color="auto"/>
              <w:left w:val="single" w:sz="8" w:space="0" w:color="auto"/>
              <w:bottom w:val="single" w:sz="8" w:space="0" w:color="auto"/>
              <w:right w:val="single" w:sz="8" w:space="0" w:color="000000"/>
            </w:tcBorders>
            <w:shd w:val="clear" w:color="000000" w:fill="BFBFBF" w:themeFill="background1" w:themeFillShade="B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sz w:val="26"/>
                <w:szCs w:val="26"/>
                <w:lang w:eastAsia="el-GR"/>
              </w:rPr>
            </w:pPr>
            <w:r w:rsidRPr="00514C06">
              <w:rPr>
                <w:rFonts w:ascii="Times New Roman" w:eastAsia="Times New Roman" w:hAnsi="Times New Roman" w:cs="Times New Roman"/>
                <w:b/>
                <w:bCs/>
                <w:color w:val="000000"/>
                <w:sz w:val="26"/>
                <w:szCs w:val="26"/>
                <w:lang w:eastAsia="el-GR"/>
              </w:rPr>
              <w:t>Πίνακας:</w:t>
            </w:r>
            <w:r w:rsidRPr="00514C06">
              <w:rPr>
                <w:rFonts w:ascii="Times New Roman" w:eastAsia="Times New Roman" w:hAnsi="Times New Roman" w:cs="Times New Roman"/>
                <w:b/>
                <w:bCs/>
                <w:color w:val="000000"/>
                <w:lang w:eastAsia="el-GR"/>
              </w:rPr>
              <w:t xml:space="preserve"> Εκτιμήσεις 70 Εμπορικών Συλλόγων για την εξέλιξη του κύκλου εργασιών κατά τη διάρκεια των Θερινών Εκπτώσεων 2016</w:t>
            </w:r>
          </w:p>
        </w:tc>
      </w:tr>
      <w:tr w:rsidR="00764F00" w:rsidRPr="00514C06" w:rsidTr="00294BD8">
        <w:trPr>
          <w:trHeight w:val="20"/>
        </w:trPr>
        <w:tc>
          <w:tcPr>
            <w:tcW w:w="3968" w:type="dxa"/>
            <w:tcBorders>
              <w:top w:val="nil"/>
              <w:left w:val="single" w:sz="8" w:space="0" w:color="auto"/>
              <w:bottom w:val="single" w:sz="8" w:space="0" w:color="auto"/>
              <w:right w:val="single" w:sz="8" w:space="0" w:color="auto"/>
            </w:tcBorders>
            <w:shd w:val="clear" w:color="000000" w:fill="D9D9D9"/>
            <w:vAlign w:val="center"/>
            <w:hideMark/>
          </w:tcPr>
          <w:p w:rsidR="00764F00" w:rsidRPr="00294BD8" w:rsidRDefault="00764F00" w:rsidP="00294BD8">
            <w:pPr>
              <w:spacing w:after="0" w:line="240" w:lineRule="auto"/>
              <w:jc w:val="center"/>
              <w:rPr>
                <w:rFonts w:ascii="Times New Roman" w:eastAsia="Times New Roman" w:hAnsi="Times New Roman" w:cs="Times New Roman"/>
                <w:b/>
                <w:bCs/>
                <w:color w:val="000000"/>
                <w:lang w:eastAsia="el-GR"/>
              </w:rPr>
            </w:pPr>
            <w:r w:rsidRPr="00294BD8">
              <w:rPr>
                <w:rFonts w:ascii="Times New Roman" w:eastAsia="Times New Roman" w:hAnsi="Times New Roman" w:cs="Times New Roman"/>
                <w:b/>
                <w:bCs/>
                <w:color w:val="000000"/>
                <w:lang w:eastAsia="el-GR"/>
              </w:rPr>
              <w:t>Εμπορικοί Σύλλογοι</w:t>
            </w:r>
          </w:p>
        </w:tc>
        <w:tc>
          <w:tcPr>
            <w:tcW w:w="4949" w:type="dxa"/>
            <w:tcBorders>
              <w:top w:val="nil"/>
              <w:left w:val="nil"/>
              <w:bottom w:val="single" w:sz="8" w:space="0" w:color="auto"/>
              <w:right w:val="single" w:sz="8" w:space="0" w:color="auto"/>
            </w:tcBorders>
            <w:shd w:val="clear" w:color="000000" w:fill="D9D9D9"/>
            <w:vAlign w:val="bottom"/>
            <w:hideMark/>
          </w:tcPr>
          <w:p w:rsidR="00764F00" w:rsidRPr="00514C06" w:rsidRDefault="00764F00" w:rsidP="00294BD8">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Μεταβολή (%) τζίρου κατά τη διάρκεια των Θερινών Εκπτώσεων 2016/2015</w:t>
            </w:r>
          </w:p>
        </w:tc>
      </w:tr>
      <w:tr w:rsidR="00764F00" w:rsidRPr="00514C06" w:rsidTr="00294BD8">
        <w:trPr>
          <w:trHeight w:hRule="exact" w:val="113"/>
        </w:trPr>
        <w:tc>
          <w:tcPr>
            <w:tcW w:w="39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4F00" w:rsidRPr="00514C06" w:rsidRDefault="00764F00" w:rsidP="00294BD8">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1.</w:t>
            </w:r>
            <w:r w:rsidRPr="00514C06">
              <w:rPr>
                <w:rFonts w:ascii="Times New Roman" w:eastAsia="Times New Roman" w:hAnsi="Times New Roman" w:cs="Times New Roman"/>
                <w:color w:val="000000"/>
                <w:lang w:eastAsia="el-GR"/>
              </w:rPr>
              <w:t xml:space="preserve">  Ε.Σ.  Αθηνών</w:t>
            </w:r>
          </w:p>
        </w:tc>
        <w:tc>
          <w:tcPr>
            <w:tcW w:w="494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4F00" w:rsidRPr="00514C06" w:rsidRDefault="00405DA0" w:rsidP="00294BD8">
            <w:pPr>
              <w:spacing w:after="0" w:line="240" w:lineRule="auto"/>
              <w:jc w:val="center"/>
              <w:rPr>
                <w:rFonts w:ascii="Times New Roman" w:eastAsia="Times New Roman" w:hAnsi="Times New Roman" w:cs="Times New Roman"/>
                <w:b/>
                <w:bCs/>
                <w:color w:val="000000"/>
                <w:lang w:eastAsia="el-GR"/>
              </w:rPr>
            </w:pPr>
            <w:r>
              <w:rPr>
                <w:rFonts w:ascii="Times New Roman" w:eastAsia="Times New Roman" w:hAnsi="Times New Roman" w:cs="Times New Roman"/>
                <w:color w:val="000000"/>
                <w:lang w:eastAsia="el-GR"/>
              </w:rPr>
              <w:t>Ιστορικό Κέντρο</w:t>
            </w:r>
            <w:r w:rsidR="00764F00" w:rsidRPr="00514C06">
              <w:rPr>
                <w:rFonts w:ascii="Times New Roman" w:eastAsia="Times New Roman" w:hAnsi="Times New Roman" w:cs="Times New Roman"/>
                <w:b/>
                <w:bCs/>
                <w:color w:val="000000"/>
                <w:lang w:eastAsia="el-GR"/>
              </w:rPr>
              <w:t xml:space="preserve">- Πτώση </w:t>
            </w:r>
            <w:r w:rsidR="00764F00" w:rsidRPr="00514C06">
              <w:rPr>
                <w:rFonts w:ascii="Times New Roman" w:eastAsia="Times New Roman" w:hAnsi="Times New Roman" w:cs="Times New Roman"/>
                <w:color w:val="000000"/>
                <w:lang w:eastAsia="el-GR"/>
              </w:rPr>
              <w:t>0-10%</w:t>
            </w:r>
          </w:p>
        </w:tc>
      </w:tr>
      <w:tr w:rsidR="00764F00" w:rsidRPr="00514C06" w:rsidTr="00294BD8">
        <w:trPr>
          <w:trHeight w:val="253"/>
        </w:trPr>
        <w:tc>
          <w:tcPr>
            <w:tcW w:w="3968" w:type="dxa"/>
            <w:vMerge/>
            <w:tcBorders>
              <w:top w:val="nil"/>
              <w:left w:val="single" w:sz="8" w:space="0" w:color="auto"/>
              <w:bottom w:val="single" w:sz="8" w:space="0" w:color="000000"/>
              <w:right w:val="single" w:sz="8" w:space="0" w:color="auto"/>
            </w:tcBorders>
            <w:vAlign w:val="center"/>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p>
        </w:tc>
        <w:tc>
          <w:tcPr>
            <w:tcW w:w="4949" w:type="dxa"/>
            <w:vMerge/>
            <w:tcBorders>
              <w:top w:val="nil"/>
              <w:left w:val="single" w:sz="8" w:space="0" w:color="auto"/>
              <w:bottom w:val="single" w:sz="8" w:space="0" w:color="000000"/>
              <w:right w:val="single" w:sz="8" w:space="0" w:color="auto"/>
            </w:tcBorders>
            <w:vAlign w:val="center"/>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p>
        </w:tc>
      </w:tr>
      <w:tr w:rsidR="00764F00" w:rsidRPr="00514C06" w:rsidTr="00294BD8">
        <w:trPr>
          <w:trHeight w:val="67"/>
        </w:trPr>
        <w:tc>
          <w:tcPr>
            <w:tcW w:w="3968" w:type="dxa"/>
            <w:vMerge/>
            <w:tcBorders>
              <w:top w:val="nil"/>
              <w:left w:val="single" w:sz="8" w:space="0" w:color="auto"/>
              <w:bottom w:val="single" w:sz="8" w:space="0" w:color="000000"/>
              <w:right w:val="single" w:sz="8" w:space="0" w:color="auto"/>
            </w:tcBorders>
            <w:vAlign w:val="center"/>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color w:val="000000"/>
                <w:lang w:eastAsia="el-GR"/>
              </w:rPr>
              <w:t>Υπόλοιπη Αθήνα</w:t>
            </w:r>
            <w:r w:rsidRPr="00514C06">
              <w:rPr>
                <w:rFonts w:ascii="Times New Roman" w:eastAsia="Times New Roman" w:hAnsi="Times New Roman" w:cs="Times New Roman"/>
                <w:b/>
                <w:bCs/>
                <w:color w:val="000000"/>
                <w:lang w:eastAsia="el-GR"/>
              </w:rPr>
              <w:t xml:space="preserve">- Πτώση </w:t>
            </w:r>
            <w:r w:rsidRPr="00514C06">
              <w:rPr>
                <w:rFonts w:ascii="Times New Roman" w:eastAsia="Times New Roman" w:hAnsi="Times New Roman" w:cs="Times New Roman"/>
                <w:color w:val="000000"/>
                <w:lang w:eastAsia="el-GR"/>
              </w:rPr>
              <w:t>11-20%</w:t>
            </w:r>
          </w:p>
        </w:tc>
      </w:tr>
      <w:tr w:rsidR="00764F00" w:rsidRPr="00514C06" w:rsidTr="009978C3">
        <w:trPr>
          <w:trHeight w:val="253"/>
        </w:trPr>
        <w:tc>
          <w:tcPr>
            <w:tcW w:w="3968" w:type="dxa"/>
            <w:vMerge w:val="restart"/>
            <w:tcBorders>
              <w:top w:val="nil"/>
              <w:left w:val="single" w:sz="8" w:space="0" w:color="auto"/>
              <w:bottom w:val="single" w:sz="8" w:space="0" w:color="000000"/>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2.</w:t>
            </w:r>
            <w:r w:rsidRPr="00514C06">
              <w:rPr>
                <w:rFonts w:ascii="Times New Roman" w:eastAsia="Times New Roman" w:hAnsi="Times New Roman" w:cs="Times New Roman"/>
                <w:color w:val="000000"/>
                <w:lang w:eastAsia="el-GR"/>
              </w:rPr>
              <w:t xml:space="preserve">  Ε.Σ.  Θεσσαλονίκης</w:t>
            </w:r>
          </w:p>
        </w:tc>
        <w:tc>
          <w:tcPr>
            <w:tcW w:w="4949" w:type="dxa"/>
            <w:vMerge w:val="restart"/>
            <w:tcBorders>
              <w:top w:val="nil"/>
              <w:left w:val="single" w:sz="8" w:space="0" w:color="auto"/>
              <w:bottom w:val="single" w:sz="8" w:space="0" w:color="000000"/>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0-10%</w:t>
            </w:r>
          </w:p>
        </w:tc>
      </w:tr>
      <w:tr w:rsidR="00764F00" w:rsidRPr="00514C06" w:rsidTr="009978C3">
        <w:trPr>
          <w:trHeight w:val="253"/>
        </w:trPr>
        <w:tc>
          <w:tcPr>
            <w:tcW w:w="3968" w:type="dxa"/>
            <w:vMerge/>
            <w:tcBorders>
              <w:top w:val="nil"/>
              <w:left w:val="single" w:sz="8" w:space="0" w:color="auto"/>
              <w:bottom w:val="single" w:sz="8" w:space="0" w:color="000000"/>
              <w:right w:val="single" w:sz="8" w:space="0" w:color="auto"/>
            </w:tcBorders>
            <w:vAlign w:val="center"/>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p>
        </w:tc>
        <w:tc>
          <w:tcPr>
            <w:tcW w:w="4949" w:type="dxa"/>
            <w:vMerge/>
            <w:tcBorders>
              <w:top w:val="nil"/>
              <w:left w:val="single" w:sz="8" w:space="0" w:color="auto"/>
              <w:bottom w:val="single" w:sz="8" w:space="0" w:color="000000"/>
              <w:right w:val="single" w:sz="8" w:space="0" w:color="auto"/>
            </w:tcBorders>
            <w:vAlign w:val="center"/>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3.</w:t>
            </w:r>
            <w:r w:rsidRPr="00514C06">
              <w:rPr>
                <w:rFonts w:ascii="Times New Roman" w:eastAsia="Times New Roman" w:hAnsi="Times New Roman" w:cs="Times New Roman"/>
                <w:color w:val="000000"/>
                <w:lang w:eastAsia="el-GR"/>
              </w:rPr>
              <w:t xml:space="preserve">  Ε.Σ.  Πειραιώς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4.</w:t>
            </w:r>
            <w:r w:rsidRPr="00514C06">
              <w:rPr>
                <w:rFonts w:ascii="Times New Roman" w:eastAsia="Times New Roman" w:hAnsi="Times New Roman" w:cs="Times New Roman"/>
                <w:color w:val="000000"/>
                <w:lang w:eastAsia="el-GR"/>
              </w:rPr>
              <w:t xml:space="preserve">  Ε.Σ.  Πάτρας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5.  </w:t>
            </w:r>
            <w:r w:rsidRPr="00514C06">
              <w:rPr>
                <w:rFonts w:ascii="Times New Roman" w:eastAsia="Times New Roman" w:hAnsi="Times New Roman" w:cs="Times New Roman"/>
                <w:color w:val="000000"/>
                <w:lang w:eastAsia="el-GR"/>
              </w:rPr>
              <w:t>Ε.Σ.  Ηρακλείου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6.</w:t>
            </w:r>
            <w:r w:rsidRPr="00514C06">
              <w:rPr>
                <w:rFonts w:ascii="Times New Roman" w:eastAsia="Times New Roman" w:hAnsi="Times New Roman" w:cs="Times New Roman"/>
                <w:color w:val="000000"/>
                <w:lang w:eastAsia="el-GR"/>
              </w:rPr>
              <w:t xml:space="preserve">  Ε.Σ.  Χανίων</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7.</w:t>
            </w:r>
            <w:r w:rsidRPr="00514C06">
              <w:rPr>
                <w:rFonts w:ascii="Times New Roman" w:eastAsia="Times New Roman" w:hAnsi="Times New Roman" w:cs="Times New Roman"/>
                <w:color w:val="000000"/>
                <w:lang w:eastAsia="el-GR"/>
              </w:rPr>
              <w:t xml:space="preserve">  Ε.Σ.  Βόλου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21-30%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8.</w:t>
            </w:r>
            <w:r w:rsidRPr="00514C06">
              <w:rPr>
                <w:rFonts w:ascii="Times New Roman" w:eastAsia="Times New Roman" w:hAnsi="Times New Roman" w:cs="Times New Roman"/>
                <w:color w:val="000000"/>
                <w:lang w:eastAsia="el-GR"/>
              </w:rPr>
              <w:t xml:space="preserve">  Ε.Σ.  Λάρισας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9.</w:t>
            </w:r>
            <w:r w:rsidRPr="00514C06">
              <w:rPr>
                <w:rFonts w:ascii="Times New Roman" w:eastAsia="Times New Roman" w:hAnsi="Times New Roman" w:cs="Times New Roman"/>
                <w:color w:val="000000"/>
                <w:lang w:eastAsia="el-GR"/>
              </w:rPr>
              <w:t xml:space="preserve">  Ε.Σ.  Χαλανδρίου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10.</w:t>
            </w:r>
            <w:r w:rsidRPr="00514C06">
              <w:rPr>
                <w:rFonts w:ascii="Times New Roman" w:eastAsia="Times New Roman" w:hAnsi="Times New Roman" w:cs="Times New Roman"/>
                <w:color w:val="000000"/>
                <w:lang w:eastAsia="el-GR"/>
              </w:rPr>
              <w:t xml:space="preserve">  Ε.Σ.  Ν. Ιωνίας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11.</w:t>
            </w:r>
            <w:r w:rsidRPr="00514C06">
              <w:rPr>
                <w:rFonts w:ascii="Times New Roman" w:eastAsia="Times New Roman" w:hAnsi="Times New Roman" w:cs="Times New Roman"/>
                <w:color w:val="000000"/>
                <w:lang w:eastAsia="el-GR"/>
              </w:rPr>
              <w:t xml:space="preserve">  Ε.Σ.  Παλαιού Φαλήρου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12.</w:t>
            </w:r>
            <w:r w:rsidRPr="00514C06">
              <w:rPr>
                <w:rFonts w:ascii="Times New Roman" w:eastAsia="Times New Roman" w:hAnsi="Times New Roman" w:cs="Times New Roman"/>
                <w:color w:val="000000"/>
                <w:lang w:eastAsia="el-GR"/>
              </w:rPr>
              <w:t xml:space="preserve">  Ε.Σ.  Νίκαιας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color w:val="000000"/>
                <w:lang w:eastAsia="el-GR"/>
              </w:rPr>
            </w:pPr>
            <w:r w:rsidRPr="00514C06">
              <w:rPr>
                <w:rFonts w:ascii="Times New Roman" w:eastAsia="Times New Roman" w:hAnsi="Times New Roman" w:cs="Times New Roman"/>
                <w:b/>
                <w:bCs/>
                <w:color w:val="000000"/>
                <w:lang w:eastAsia="el-GR"/>
              </w:rPr>
              <w:t>13</w:t>
            </w:r>
            <w:r w:rsidRPr="00514C06">
              <w:rPr>
                <w:rFonts w:ascii="Times New Roman" w:eastAsia="Times New Roman" w:hAnsi="Times New Roman" w:cs="Times New Roman"/>
                <w:color w:val="000000"/>
                <w:lang w:eastAsia="el-GR"/>
              </w:rPr>
              <w:t>. Ε.Σ. Γαλατσίου</w:t>
            </w:r>
            <w:r w:rsidRPr="00514C06">
              <w:rPr>
                <w:rFonts w:ascii="Times New Roman" w:eastAsia="Times New Roman" w:hAnsi="Times New Roman" w:cs="Times New Roman"/>
                <w:b/>
                <w:bCs/>
                <w:color w:val="000000"/>
                <w:lang w:eastAsia="el-GR"/>
              </w:rPr>
              <w:t xml:space="preserve"> </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14.</w:t>
            </w:r>
            <w:r w:rsidRPr="00514C06">
              <w:rPr>
                <w:rFonts w:ascii="Times New Roman" w:eastAsia="Times New Roman" w:hAnsi="Times New Roman" w:cs="Times New Roman"/>
                <w:color w:val="000000"/>
                <w:lang w:eastAsia="el-GR"/>
              </w:rPr>
              <w:t xml:space="preserve">  Ε.Σ.  Ιλίου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15.</w:t>
            </w:r>
            <w:r w:rsidRPr="00514C06">
              <w:rPr>
                <w:rFonts w:ascii="Times New Roman" w:eastAsia="Times New Roman" w:hAnsi="Times New Roman" w:cs="Times New Roman"/>
                <w:color w:val="000000"/>
                <w:lang w:eastAsia="el-GR"/>
              </w:rPr>
              <w:t xml:space="preserve">  Ε.Σ.  Γλυφάδας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294BD8">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16.</w:t>
            </w:r>
            <w:r w:rsidRPr="00514C06">
              <w:rPr>
                <w:rFonts w:ascii="Times New Roman" w:eastAsia="Times New Roman" w:hAnsi="Times New Roman" w:cs="Times New Roman"/>
                <w:color w:val="000000"/>
                <w:lang w:eastAsia="el-GR"/>
              </w:rPr>
              <w:t xml:space="preserve"> Ε.Σ.  Κερατσινίου - Δραπετσώνας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Στα ίδια επίπεδα</w:t>
            </w:r>
          </w:p>
        </w:tc>
      </w:tr>
      <w:tr w:rsidR="00764F00" w:rsidRPr="00514C06" w:rsidTr="00294BD8">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17.  </w:t>
            </w:r>
            <w:r w:rsidRPr="00514C06">
              <w:rPr>
                <w:rFonts w:ascii="Times New Roman" w:eastAsia="Times New Roman" w:hAnsi="Times New Roman" w:cs="Times New Roman"/>
                <w:color w:val="000000"/>
                <w:lang w:eastAsia="el-GR"/>
              </w:rPr>
              <w:t>Ε.Σ.</w:t>
            </w:r>
            <w:r w:rsidRPr="00514C06">
              <w:rPr>
                <w:rFonts w:ascii="Times New Roman" w:eastAsia="Times New Roman" w:hAnsi="Times New Roman" w:cs="Times New Roman"/>
                <w:b/>
                <w:bCs/>
                <w:color w:val="000000"/>
                <w:lang w:eastAsia="el-GR"/>
              </w:rPr>
              <w:t xml:space="preserve">  </w:t>
            </w:r>
            <w:r w:rsidRPr="00514C06">
              <w:rPr>
                <w:rFonts w:ascii="Times New Roman" w:eastAsia="Times New Roman" w:hAnsi="Times New Roman" w:cs="Times New Roman"/>
                <w:color w:val="000000"/>
                <w:lang w:eastAsia="el-GR"/>
              </w:rPr>
              <w:t>Καλλιθέας</w:t>
            </w:r>
          </w:p>
        </w:tc>
        <w:tc>
          <w:tcPr>
            <w:tcW w:w="4949" w:type="dxa"/>
            <w:tcBorders>
              <w:top w:val="single" w:sz="8" w:space="0" w:color="auto"/>
              <w:left w:val="nil"/>
              <w:bottom w:val="single" w:sz="8" w:space="0" w:color="auto"/>
              <w:right w:val="single" w:sz="8" w:space="0" w:color="auto"/>
            </w:tcBorders>
            <w:shd w:val="clear" w:color="000000" w:fill="FFFFFF"/>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21-30%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18. </w:t>
            </w:r>
            <w:r w:rsidRPr="00514C06">
              <w:rPr>
                <w:rFonts w:ascii="Times New Roman" w:eastAsia="Times New Roman" w:hAnsi="Times New Roman" w:cs="Times New Roman"/>
                <w:color w:val="000000"/>
                <w:lang w:eastAsia="el-GR"/>
              </w:rPr>
              <w:t xml:space="preserve">Ε.Σ.  </w:t>
            </w:r>
            <w:r w:rsidRPr="00514C06">
              <w:rPr>
                <w:rFonts w:ascii="Times New Roman" w:eastAsia="Times New Roman" w:hAnsi="Times New Roman" w:cs="Times New Roman"/>
                <w:b/>
                <w:bCs/>
                <w:color w:val="000000"/>
                <w:lang w:eastAsia="el-GR"/>
              </w:rPr>
              <w:t xml:space="preserve"> </w:t>
            </w:r>
            <w:r w:rsidRPr="00514C06">
              <w:rPr>
                <w:rFonts w:ascii="Times New Roman" w:eastAsia="Times New Roman" w:hAnsi="Times New Roman" w:cs="Times New Roman"/>
                <w:color w:val="000000"/>
                <w:lang w:eastAsia="el-GR"/>
              </w:rPr>
              <w:t>Μοσχάτου</w:t>
            </w:r>
          </w:p>
        </w:tc>
        <w:tc>
          <w:tcPr>
            <w:tcW w:w="4949" w:type="dxa"/>
            <w:tcBorders>
              <w:top w:val="nil"/>
              <w:left w:val="nil"/>
              <w:bottom w:val="single" w:sz="8" w:space="0" w:color="auto"/>
              <w:right w:val="single" w:sz="8" w:space="0" w:color="auto"/>
            </w:tcBorders>
            <w:shd w:val="clear" w:color="000000" w:fill="FFFFFF"/>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C75ED4">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19.</w:t>
            </w:r>
            <w:r w:rsidRPr="00514C06">
              <w:rPr>
                <w:rFonts w:ascii="Times New Roman" w:eastAsia="Times New Roman" w:hAnsi="Times New Roman" w:cs="Times New Roman"/>
                <w:color w:val="000000"/>
                <w:lang w:eastAsia="el-GR"/>
              </w:rPr>
              <w:t xml:space="preserve">  Ε.Σ.  Έδεσσας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C75ED4">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20.  </w:t>
            </w:r>
            <w:r w:rsidRPr="00514C06">
              <w:rPr>
                <w:rFonts w:ascii="Times New Roman" w:eastAsia="Times New Roman" w:hAnsi="Times New Roman" w:cs="Times New Roman"/>
                <w:color w:val="000000"/>
                <w:lang w:eastAsia="el-GR"/>
              </w:rPr>
              <w:t>Ε.Σ.  Αμαρουσίου</w:t>
            </w:r>
          </w:p>
        </w:tc>
        <w:tc>
          <w:tcPr>
            <w:tcW w:w="4949" w:type="dxa"/>
            <w:tcBorders>
              <w:top w:val="single" w:sz="8" w:space="0" w:color="auto"/>
              <w:left w:val="nil"/>
              <w:bottom w:val="single" w:sz="8" w:space="0" w:color="auto"/>
              <w:right w:val="single" w:sz="8" w:space="0" w:color="auto"/>
            </w:tcBorders>
            <w:shd w:val="clear" w:color="000000" w:fill="FFFFFF"/>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21.</w:t>
            </w:r>
            <w:r w:rsidRPr="00514C06">
              <w:rPr>
                <w:rFonts w:ascii="Times New Roman" w:eastAsia="Times New Roman" w:hAnsi="Times New Roman" w:cs="Times New Roman"/>
                <w:color w:val="000000"/>
                <w:lang w:eastAsia="el-GR"/>
              </w:rPr>
              <w:t xml:space="preserve">  Ε.Σ.  Ρεθύμνου</w:t>
            </w:r>
          </w:p>
        </w:tc>
        <w:tc>
          <w:tcPr>
            <w:tcW w:w="4949" w:type="dxa"/>
            <w:tcBorders>
              <w:top w:val="nil"/>
              <w:left w:val="nil"/>
              <w:bottom w:val="single" w:sz="8" w:space="0" w:color="auto"/>
              <w:right w:val="single" w:sz="8" w:space="0" w:color="auto"/>
            </w:tcBorders>
            <w:shd w:val="clear" w:color="000000" w:fill="FFFFFF"/>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22.</w:t>
            </w:r>
            <w:r w:rsidRPr="00514C06">
              <w:rPr>
                <w:rFonts w:ascii="Times New Roman" w:eastAsia="Times New Roman" w:hAnsi="Times New Roman" w:cs="Times New Roman"/>
                <w:color w:val="000000"/>
                <w:lang w:eastAsia="el-GR"/>
              </w:rPr>
              <w:t>Ε.Σ Καλαμαριάς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23.</w:t>
            </w:r>
            <w:r w:rsidRPr="00514C06">
              <w:rPr>
                <w:rFonts w:ascii="Times New Roman" w:eastAsia="Times New Roman" w:hAnsi="Times New Roman" w:cs="Times New Roman"/>
                <w:color w:val="000000"/>
                <w:lang w:eastAsia="el-GR"/>
              </w:rPr>
              <w:t xml:space="preserve">  Ε.Σ.  Θήρας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24. </w:t>
            </w:r>
            <w:r w:rsidRPr="00514C06">
              <w:rPr>
                <w:rFonts w:ascii="Times New Roman" w:eastAsia="Times New Roman" w:hAnsi="Times New Roman" w:cs="Times New Roman"/>
                <w:color w:val="000000"/>
                <w:lang w:eastAsia="el-GR"/>
              </w:rPr>
              <w:t xml:space="preserve">Ε.Σ Καβάλας </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25.</w:t>
            </w:r>
            <w:r w:rsidRPr="00514C06">
              <w:rPr>
                <w:rFonts w:ascii="Times New Roman" w:eastAsia="Times New Roman" w:hAnsi="Times New Roman" w:cs="Times New Roman"/>
                <w:color w:val="000000"/>
                <w:lang w:eastAsia="el-GR"/>
              </w:rPr>
              <w:t xml:space="preserve">  Ε.Σ.  Γρεβενών</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21-30%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26.</w:t>
            </w:r>
            <w:r w:rsidRPr="00514C06">
              <w:rPr>
                <w:rFonts w:ascii="Times New Roman" w:eastAsia="Times New Roman" w:hAnsi="Times New Roman" w:cs="Times New Roman"/>
                <w:color w:val="000000"/>
                <w:lang w:eastAsia="el-GR"/>
              </w:rPr>
              <w:t xml:space="preserve">  Ε.Σ.  Γιαννιτσών</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27.</w:t>
            </w:r>
            <w:r w:rsidRPr="00514C06">
              <w:rPr>
                <w:rFonts w:ascii="Times New Roman" w:eastAsia="Times New Roman" w:hAnsi="Times New Roman" w:cs="Times New Roman"/>
                <w:color w:val="000000"/>
                <w:lang w:eastAsia="el-GR"/>
              </w:rPr>
              <w:t xml:space="preserve">  Ε.Σ.  Βέροιας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28.</w:t>
            </w:r>
            <w:r w:rsidRPr="00514C06">
              <w:rPr>
                <w:rFonts w:ascii="Times New Roman" w:eastAsia="Times New Roman" w:hAnsi="Times New Roman" w:cs="Times New Roman"/>
                <w:color w:val="000000"/>
                <w:lang w:eastAsia="el-GR"/>
              </w:rPr>
              <w:t>Ένωση Εμπόρων-Επαγγελματιών Βιοτεχνών Αγ. Κων/ντίνου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29.</w:t>
            </w:r>
            <w:r w:rsidRPr="00514C06">
              <w:rPr>
                <w:rFonts w:ascii="Times New Roman" w:eastAsia="Times New Roman" w:hAnsi="Times New Roman" w:cs="Times New Roman"/>
                <w:color w:val="000000"/>
                <w:lang w:eastAsia="el-GR"/>
              </w:rPr>
              <w:t xml:space="preserve">  Ε.Σ.  Ναυπλίου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30.</w:t>
            </w:r>
            <w:r w:rsidRPr="00514C06">
              <w:rPr>
                <w:rFonts w:ascii="Times New Roman" w:eastAsia="Times New Roman" w:hAnsi="Times New Roman" w:cs="Times New Roman"/>
                <w:color w:val="000000"/>
                <w:lang w:eastAsia="el-GR"/>
              </w:rPr>
              <w:t>Ε.Σ Αγ.Νικολάου Κρήτης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31.</w:t>
            </w:r>
            <w:r w:rsidRPr="00514C06">
              <w:rPr>
                <w:rFonts w:ascii="Times New Roman" w:eastAsia="Times New Roman" w:hAnsi="Times New Roman" w:cs="Times New Roman"/>
                <w:color w:val="000000"/>
                <w:lang w:eastAsia="el-GR"/>
              </w:rPr>
              <w:t>Ε.Σ.Σητείας-Κρήτη</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32.</w:t>
            </w:r>
            <w:r w:rsidRPr="00514C06">
              <w:rPr>
                <w:rFonts w:ascii="Times New Roman" w:eastAsia="Times New Roman" w:hAnsi="Times New Roman" w:cs="Times New Roman"/>
                <w:color w:val="000000"/>
                <w:lang w:eastAsia="el-GR"/>
              </w:rPr>
              <w:t xml:space="preserve">  Ε.Σ.  Κορίνθου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33.</w:t>
            </w:r>
            <w:r w:rsidRPr="00514C06">
              <w:rPr>
                <w:rFonts w:ascii="Times New Roman" w:eastAsia="Times New Roman" w:hAnsi="Times New Roman" w:cs="Times New Roman"/>
                <w:color w:val="000000"/>
                <w:lang w:eastAsia="el-GR"/>
              </w:rPr>
              <w:t xml:space="preserve">  Ε.Σ.  Κιάτου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34.</w:t>
            </w:r>
            <w:r w:rsidRPr="00514C06">
              <w:rPr>
                <w:rFonts w:ascii="Times New Roman" w:eastAsia="Times New Roman" w:hAnsi="Times New Roman" w:cs="Times New Roman"/>
                <w:color w:val="000000"/>
                <w:lang w:eastAsia="el-GR"/>
              </w:rPr>
              <w:t xml:space="preserve">  Ε.Σ.  Σύρου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35.</w:t>
            </w:r>
            <w:r w:rsidRPr="00514C06">
              <w:rPr>
                <w:rFonts w:ascii="Times New Roman" w:eastAsia="Times New Roman" w:hAnsi="Times New Roman" w:cs="Times New Roman"/>
                <w:color w:val="000000"/>
                <w:lang w:eastAsia="el-GR"/>
              </w:rPr>
              <w:t xml:space="preserve">  Ε.Σ.  Νάξου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36.</w:t>
            </w:r>
            <w:r w:rsidRPr="00514C06">
              <w:rPr>
                <w:rFonts w:ascii="Times New Roman" w:eastAsia="Times New Roman" w:hAnsi="Times New Roman" w:cs="Times New Roman"/>
                <w:color w:val="000000"/>
                <w:lang w:eastAsia="el-GR"/>
              </w:rPr>
              <w:t xml:space="preserve">  Ε.Σ.  Καλαμάτας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Άνοδος</w:t>
            </w:r>
            <w:r w:rsidRPr="00514C06">
              <w:rPr>
                <w:rFonts w:ascii="Times New Roman" w:eastAsia="Times New Roman" w:hAnsi="Times New Roman" w:cs="Times New Roman"/>
                <w:color w:val="000000"/>
                <w:lang w:eastAsia="el-GR"/>
              </w:rPr>
              <w:t xml:space="preserve"> 5%</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37.  </w:t>
            </w:r>
            <w:r w:rsidRPr="00514C06">
              <w:rPr>
                <w:rFonts w:ascii="Times New Roman" w:eastAsia="Times New Roman" w:hAnsi="Times New Roman" w:cs="Times New Roman"/>
                <w:color w:val="000000"/>
                <w:lang w:eastAsia="el-GR"/>
              </w:rPr>
              <w:t>Ε.Σ.  Ζακύνθου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38.  </w:t>
            </w:r>
            <w:r w:rsidRPr="00514C06">
              <w:rPr>
                <w:rFonts w:ascii="Times New Roman" w:eastAsia="Times New Roman" w:hAnsi="Times New Roman" w:cs="Times New Roman"/>
                <w:color w:val="000000"/>
                <w:lang w:eastAsia="el-GR"/>
              </w:rPr>
              <w:t>Ε.Σ.  Αργοστολίου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39.  </w:t>
            </w:r>
            <w:r w:rsidRPr="00514C06">
              <w:rPr>
                <w:rFonts w:ascii="Times New Roman" w:eastAsia="Times New Roman" w:hAnsi="Times New Roman" w:cs="Times New Roman"/>
                <w:color w:val="000000"/>
                <w:lang w:eastAsia="el-GR"/>
              </w:rPr>
              <w:t>Ε.Σ.  Μυτιλήνης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40.  </w:t>
            </w:r>
            <w:r w:rsidRPr="00514C06">
              <w:rPr>
                <w:rFonts w:ascii="Times New Roman" w:eastAsia="Times New Roman" w:hAnsi="Times New Roman" w:cs="Times New Roman"/>
                <w:color w:val="000000"/>
                <w:lang w:eastAsia="el-GR"/>
              </w:rPr>
              <w:t>Ε.Σ.  Λιβαδειάς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2E3D01">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41.  </w:t>
            </w:r>
            <w:r w:rsidRPr="00514C06">
              <w:rPr>
                <w:rFonts w:ascii="Times New Roman" w:eastAsia="Times New Roman" w:hAnsi="Times New Roman" w:cs="Times New Roman"/>
                <w:color w:val="000000"/>
                <w:lang w:eastAsia="el-GR"/>
              </w:rPr>
              <w:t>Ε.Σ.  Καρδίτσας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2E3D01">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42.  </w:t>
            </w:r>
            <w:r w:rsidRPr="00514C06">
              <w:rPr>
                <w:rFonts w:ascii="Times New Roman" w:eastAsia="Times New Roman" w:hAnsi="Times New Roman" w:cs="Times New Roman"/>
                <w:color w:val="000000"/>
                <w:lang w:eastAsia="el-GR"/>
              </w:rPr>
              <w:t>Ε.Σ.  Αγρινίου</w:t>
            </w:r>
          </w:p>
        </w:tc>
        <w:tc>
          <w:tcPr>
            <w:tcW w:w="4949" w:type="dxa"/>
            <w:tcBorders>
              <w:top w:val="single" w:sz="8" w:space="0" w:color="auto"/>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21-30%</w:t>
            </w:r>
          </w:p>
        </w:tc>
      </w:tr>
      <w:tr w:rsidR="00764F00" w:rsidRPr="00514C06" w:rsidTr="002E3D01">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43.  </w:t>
            </w:r>
            <w:r w:rsidRPr="00514C06">
              <w:rPr>
                <w:rFonts w:ascii="Times New Roman" w:eastAsia="Times New Roman" w:hAnsi="Times New Roman" w:cs="Times New Roman"/>
                <w:color w:val="000000"/>
                <w:lang w:eastAsia="el-GR"/>
              </w:rPr>
              <w:t>Ε.Σ.  Πύργου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2E3D01">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44.  </w:t>
            </w:r>
            <w:r w:rsidRPr="00514C06">
              <w:rPr>
                <w:rFonts w:ascii="Times New Roman" w:eastAsia="Times New Roman" w:hAnsi="Times New Roman" w:cs="Times New Roman"/>
                <w:color w:val="000000"/>
                <w:lang w:eastAsia="el-GR"/>
              </w:rPr>
              <w:t>Ε.Σ.  Καστοριάς</w:t>
            </w:r>
          </w:p>
        </w:tc>
        <w:tc>
          <w:tcPr>
            <w:tcW w:w="4949" w:type="dxa"/>
            <w:tcBorders>
              <w:top w:val="single" w:sz="8" w:space="0" w:color="auto"/>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 xml:space="preserve"> 11-20%</w:t>
            </w:r>
          </w:p>
        </w:tc>
      </w:tr>
      <w:tr w:rsidR="00764F00" w:rsidRPr="00514C06" w:rsidTr="002E3D01">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45.  </w:t>
            </w:r>
            <w:r w:rsidRPr="00514C06">
              <w:rPr>
                <w:rFonts w:ascii="Times New Roman" w:eastAsia="Times New Roman" w:hAnsi="Times New Roman" w:cs="Times New Roman"/>
                <w:color w:val="000000"/>
                <w:lang w:eastAsia="el-GR"/>
              </w:rPr>
              <w:t>Ε.Σ.  Κοζάνης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2E3D01">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lastRenderedPageBreak/>
              <w:t xml:space="preserve">46.  </w:t>
            </w:r>
            <w:r w:rsidRPr="00514C06">
              <w:rPr>
                <w:rFonts w:ascii="Times New Roman" w:eastAsia="Times New Roman" w:hAnsi="Times New Roman" w:cs="Times New Roman"/>
                <w:color w:val="000000"/>
                <w:lang w:eastAsia="el-GR"/>
              </w:rPr>
              <w:t>Ε.Σ.  Πτολεμαΐδας</w:t>
            </w:r>
          </w:p>
        </w:tc>
        <w:tc>
          <w:tcPr>
            <w:tcW w:w="4949" w:type="dxa"/>
            <w:tcBorders>
              <w:top w:val="single" w:sz="8" w:space="0" w:color="auto"/>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47.  </w:t>
            </w:r>
            <w:r w:rsidRPr="00514C06">
              <w:rPr>
                <w:rFonts w:ascii="Times New Roman" w:eastAsia="Times New Roman" w:hAnsi="Times New Roman" w:cs="Times New Roman"/>
                <w:color w:val="000000"/>
                <w:lang w:eastAsia="el-GR"/>
              </w:rPr>
              <w:t>Ε.Σ.  Ρόδου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48.  </w:t>
            </w:r>
            <w:r w:rsidRPr="00514C06">
              <w:rPr>
                <w:rFonts w:ascii="Times New Roman" w:eastAsia="Times New Roman" w:hAnsi="Times New Roman" w:cs="Times New Roman"/>
                <w:color w:val="000000"/>
                <w:lang w:eastAsia="el-GR"/>
              </w:rPr>
              <w:t>Ε.Σ.  Φλώρινας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21-30%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49.  </w:t>
            </w:r>
            <w:r w:rsidRPr="00514C06">
              <w:rPr>
                <w:rFonts w:ascii="Times New Roman" w:eastAsia="Times New Roman" w:hAnsi="Times New Roman" w:cs="Times New Roman"/>
                <w:color w:val="000000"/>
                <w:lang w:eastAsia="el-GR"/>
              </w:rPr>
              <w:t>Ε.Σ.  Χαλκίδας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50.</w:t>
            </w:r>
            <w:r w:rsidRPr="00514C06">
              <w:rPr>
                <w:rFonts w:ascii="Times New Roman" w:eastAsia="Times New Roman" w:hAnsi="Times New Roman" w:cs="Times New Roman"/>
                <w:color w:val="000000"/>
                <w:lang w:eastAsia="el-GR"/>
              </w:rPr>
              <w:t xml:space="preserve">  Ε.Σ.  Τρικάλων </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51.</w:t>
            </w:r>
            <w:r w:rsidRPr="00514C06">
              <w:rPr>
                <w:rFonts w:ascii="Times New Roman" w:eastAsia="Times New Roman" w:hAnsi="Times New Roman" w:cs="Times New Roman"/>
                <w:color w:val="000000"/>
                <w:lang w:eastAsia="el-GR"/>
              </w:rPr>
              <w:t xml:space="preserve">  Ε.Σ.  Ηγουμενίτσας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52.</w:t>
            </w:r>
            <w:r w:rsidRPr="00514C06">
              <w:rPr>
                <w:rFonts w:ascii="Times New Roman" w:eastAsia="Times New Roman" w:hAnsi="Times New Roman" w:cs="Times New Roman"/>
                <w:color w:val="000000"/>
                <w:lang w:eastAsia="el-GR"/>
              </w:rPr>
              <w:t xml:space="preserve">  Ε.Σ.  Αλεξανδρούπολης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53.</w:t>
            </w:r>
            <w:r w:rsidRPr="00514C06">
              <w:rPr>
                <w:rFonts w:ascii="Times New Roman" w:eastAsia="Times New Roman" w:hAnsi="Times New Roman" w:cs="Times New Roman"/>
                <w:color w:val="000000"/>
                <w:lang w:eastAsia="el-GR"/>
              </w:rPr>
              <w:t xml:space="preserve">  Ε.Σ.  Ιεράπετρας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54.</w:t>
            </w:r>
            <w:r w:rsidRPr="00514C06">
              <w:rPr>
                <w:rFonts w:ascii="Times New Roman" w:eastAsia="Times New Roman" w:hAnsi="Times New Roman" w:cs="Times New Roman"/>
                <w:color w:val="000000"/>
                <w:lang w:eastAsia="el-GR"/>
              </w:rPr>
              <w:t xml:space="preserve">  Ε.Σ.  Θηβών</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55.</w:t>
            </w:r>
            <w:r w:rsidRPr="00514C06">
              <w:rPr>
                <w:rFonts w:ascii="Times New Roman" w:eastAsia="Times New Roman" w:hAnsi="Times New Roman" w:cs="Times New Roman"/>
                <w:color w:val="000000"/>
                <w:lang w:eastAsia="el-GR"/>
              </w:rPr>
              <w:t xml:space="preserve">  Ε.Σ.  Λαμίας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21-30%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56.</w:t>
            </w:r>
            <w:r w:rsidRPr="00514C06">
              <w:rPr>
                <w:rFonts w:ascii="Times New Roman" w:eastAsia="Times New Roman" w:hAnsi="Times New Roman" w:cs="Times New Roman"/>
                <w:color w:val="000000"/>
                <w:lang w:eastAsia="el-GR"/>
              </w:rPr>
              <w:t xml:space="preserve">  Ε.Σ.  Λευκάδας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57.</w:t>
            </w:r>
            <w:r w:rsidRPr="00514C06">
              <w:rPr>
                <w:rFonts w:ascii="Times New Roman" w:eastAsia="Times New Roman" w:hAnsi="Times New Roman" w:cs="Times New Roman"/>
                <w:color w:val="000000"/>
                <w:lang w:eastAsia="el-GR"/>
              </w:rPr>
              <w:t xml:space="preserve">  Ε.Σ.  Ιωαννίνων</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58.</w:t>
            </w:r>
            <w:r w:rsidRPr="00514C06">
              <w:rPr>
                <w:rFonts w:ascii="Times New Roman" w:eastAsia="Times New Roman" w:hAnsi="Times New Roman" w:cs="Times New Roman"/>
                <w:color w:val="000000"/>
                <w:lang w:eastAsia="el-GR"/>
              </w:rPr>
              <w:t xml:space="preserve">  Ε.Σ.  Άρτας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Μεγαλύτερη από 41%</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59.  Ε.Σ.  </w:t>
            </w:r>
            <w:r w:rsidRPr="00514C06">
              <w:rPr>
                <w:rFonts w:ascii="Times New Roman" w:eastAsia="Times New Roman" w:hAnsi="Times New Roman" w:cs="Times New Roman"/>
                <w:color w:val="000000"/>
                <w:lang w:eastAsia="el-GR"/>
              </w:rPr>
              <w:t>Σερρών</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60.  Ε.Σ.  </w:t>
            </w:r>
            <w:r w:rsidRPr="00514C06">
              <w:rPr>
                <w:rFonts w:ascii="Times New Roman" w:eastAsia="Times New Roman" w:hAnsi="Times New Roman" w:cs="Times New Roman"/>
                <w:color w:val="000000"/>
                <w:lang w:eastAsia="el-GR"/>
              </w:rPr>
              <w:t>Κομοτηνής</w:t>
            </w:r>
            <w:r w:rsidRPr="00514C06">
              <w:rPr>
                <w:rFonts w:ascii="Times New Roman" w:eastAsia="Times New Roman" w:hAnsi="Times New Roman" w:cs="Times New Roman"/>
                <w:b/>
                <w:bCs/>
                <w:color w:val="000000"/>
                <w:lang w:eastAsia="el-GR"/>
              </w:rPr>
              <w:t xml:space="preserve"> </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61.</w:t>
            </w:r>
            <w:r w:rsidRPr="00514C06">
              <w:rPr>
                <w:rFonts w:ascii="Times New Roman" w:eastAsia="Times New Roman" w:hAnsi="Times New Roman" w:cs="Times New Roman"/>
                <w:color w:val="000000"/>
                <w:lang w:eastAsia="el-GR"/>
              </w:rPr>
              <w:t xml:space="preserve">  Ε.Σ.  Κατερίνης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62.  </w:t>
            </w:r>
            <w:r w:rsidRPr="00514C06">
              <w:rPr>
                <w:rFonts w:ascii="Times New Roman" w:eastAsia="Times New Roman" w:hAnsi="Times New Roman" w:cs="Times New Roman"/>
                <w:color w:val="000000"/>
                <w:lang w:eastAsia="el-GR"/>
              </w:rPr>
              <w:t>Ε.Σ.  Σάμου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21-30%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63.  </w:t>
            </w:r>
            <w:r w:rsidRPr="00514C06">
              <w:rPr>
                <w:rFonts w:ascii="Times New Roman" w:eastAsia="Times New Roman" w:hAnsi="Times New Roman" w:cs="Times New Roman"/>
                <w:color w:val="000000"/>
                <w:lang w:eastAsia="el-GR"/>
              </w:rPr>
              <w:t>Ε.Σ.  Δράμας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64.  </w:t>
            </w:r>
            <w:r w:rsidRPr="00514C06">
              <w:rPr>
                <w:rFonts w:ascii="Times New Roman" w:eastAsia="Times New Roman" w:hAnsi="Times New Roman" w:cs="Times New Roman"/>
                <w:color w:val="000000"/>
                <w:lang w:eastAsia="el-GR"/>
              </w:rPr>
              <w:t>Ε.Σ.  Ξάνθης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65. </w:t>
            </w:r>
            <w:r w:rsidRPr="00514C06">
              <w:rPr>
                <w:rFonts w:ascii="Times New Roman" w:eastAsia="Times New Roman" w:hAnsi="Times New Roman" w:cs="Times New Roman"/>
                <w:color w:val="000000"/>
                <w:lang w:eastAsia="el-GR"/>
              </w:rPr>
              <w:t>Ε.Σ Ελασσόνας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0-10%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66.</w:t>
            </w:r>
            <w:r w:rsidRPr="00514C06">
              <w:rPr>
                <w:rFonts w:ascii="Times New Roman" w:eastAsia="Times New Roman" w:hAnsi="Times New Roman" w:cs="Times New Roman"/>
                <w:color w:val="000000"/>
                <w:lang w:eastAsia="el-GR"/>
              </w:rPr>
              <w:t>Ε.Σ Λήμνου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Πτώση</w:t>
            </w:r>
            <w:r w:rsidRPr="00514C06">
              <w:rPr>
                <w:rFonts w:ascii="Times New Roman" w:eastAsia="Times New Roman" w:hAnsi="Times New Roman" w:cs="Times New Roman"/>
                <w:color w:val="000000"/>
                <w:lang w:eastAsia="el-GR"/>
              </w:rPr>
              <w:t xml:space="preserve"> 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67.  </w:t>
            </w:r>
            <w:r w:rsidRPr="00514C06">
              <w:rPr>
                <w:rFonts w:ascii="Times New Roman" w:eastAsia="Times New Roman" w:hAnsi="Times New Roman" w:cs="Times New Roman"/>
                <w:color w:val="000000"/>
                <w:lang w:eastAsia="el-GR"/>
              </w:rPr>
              <w:t>Ε.Σ.  Πάρου</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514C06" w:rsidRDefault="00764F00" w:rsidP="009978C3">
            <w:pPr>
              <w:spacing w:after="0" w:line="240" w:lineRule="auto"/>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68. </w:t>
            </w:r>
            <w:r w:rsidRPr="00514C06">
              <w:rPr>
                <w:rFonts w:ascii="Times New Roman" w:eastAsia="Times New Roman" w:hAnsi="Times New Roman" w:cs="Times New Roman"/>
                <w:color w:val="000000"/>
                <w:lang w:eastAsia="el-GR"/>
              </w:rPr>
              <w:t>Ε.Σ Άργους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11-20%</w:t>
            </w:r>
          </w:p>
        </w:tc>
      </w:tr>
      <w:tr w:rsidR="00764F00" w:rsidRPr="00514C06" w:rsidTr="009978C3">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632ABB" w:rsidRDefault="00764F00" w:rsidP="009978C3">
            <w:pPr>
              <w:spacing w:after="0" w:line="240" w:lineRule="auto"/>
              <w:rPr>
                <w:rFonts w:ascii="Times New Roman" w:eastAsia="Times New Roman" w:hAnsi="Times New Roman" w:cs="Times New Roman"/>
                <w:bCs/>
                <w:color w:val="000000"/>
                <w:lang w:eastAsia="el-GR"/>
              </w:rPr>
            </w:pPr>
            <w:r w:rsidRPr="00632ABB">
              <w:rPr>
                <w:rFonts w:ascii="Times New Roman" w:eastAsia="Times New Roman" w:hAnsi="Times New Roman" w:cs="Times New Roman"/>
                <w:b/>
                <w:bCs/>
                <w:color w:val="000000"/>
                <w:lang w:eastAsia="el-GR"/>
              </w:rPr>
              <w:t>69</w:t>
            </w:r>
            <w:r w:rsidRPr="00632ABB">
              <w:rPr>
                <w:rFonts w:ascii="Times New Roman" w:eastAsia="Times New Roman" w:hAnsi="Times New Roman" w:cs="Times New Roman"/>
                <w:bCs/>
                <w:color w:val="000000"/>
                <w:lang w:eastAsia="el-GR"/>
              </w:rPr>
              <w:t>. Ε.Σ Σπάρτης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lang w:eastAsia="el-GR"/>
              </w:rPr>
            </w:pPr>
            <w:r w:rsidRPr="00514C06">
              <w:rPr>
                <w:rFonts w:ascii="Times New Roman" w:eastAsia="Times New Roman" w:hAnsi="Times New Roman" w:cs="Times New Roman"/>
                <w:b/>
                <w:bCs/>
                <w:color w:val="000000"/>
                <w:lang w:eastAsia="el-GR"/>
              </w:rPr>
              <w:t xml:space="preserve">Πτώση </w:t>
            </w:r>
            <w:r w:rsidRPr="00514C06">
              <w:rPr>
                <w:rFonts w:ascii="Times New Roman" w:eastAsia="Times New Roman" w:hAnsi="Times New Roman" w:cs="Times New Roman"/>
                <w:color w:val="000000"/>
                <w:lang w:eastAsia="el-GR"/>
              </w:rPr>
              <w:t>0-10%</w:t>
            </w:r>
          </w:p>
        </w:tc>
      </w:tr>
      <w:tr w:rsidR="00764F00" w:rsidRPr="00514C06" w:rsidTr="00C75ED4">
        <w:trPr>
          <w:trHeight w:val="20"/>
        </w:trPr>
        <w:tc>
          <w:tcPr>
            <w:tcW w:w="3968" w:type="dxa"/>
            <w:tcBorders>
              <w:top w:val="nil"/>
              <w:left w:val="single" w:sz="8" w:space="0" w:color="auto"/>
              <w:bottom w:val="single" w:sz="8" w:space="0" w:color="auto"/>
              <w:right w:val="single" w:sz="8" w:space="0" w:color="auto"/>
            </w:tcBorders>
            <w:shd w:val="clear" w:color="000000" w:fill="FFFFFF"/>
            <w:hideMark/>
          </w:tcPr>
          <w:p w:rsidR="00764F00" w:rsidRPr="00632ABB" w:rsidRDefault="00764F00" w:rsidP="009978C3">
            <w:pPr>
              <w:spacing w:after="0" w:line="240" w:lineRule="auto"/>
              <w:rPr>
                <w:rFonts w:ascii="Times New Roman" w:eastAsia="Times New Roman" w:hAnsi="Times New Roman" w:cs="Times New Roman"/>
                <w:bCs/>
                <w:color w:val="000000"/>
                <w:lang w:eastAsia="el-GR"/>
              </w:rPr>
            </w:pPr>
            <w:r w:rsidRPr="00632ABB">
              <w:rPr>
                <w:rFonts w:ascii="Times New Roman" w:eastAsia="Times New Roman" w:hAnsi="Times New Roman" w:cs="Times New Roman"/>
                <w:b/>
                <w:bCs/>
                <w:color w:val="000000"/>
                <w:lang w:eastAsia="el-GR"/>
              </w:rPr>
              <w:t>70</w:t>
            </w:r>
            <w:r w:rsidRPr="00632ABB">
              <w:rPr>
                <w:rFonts w:ascii="Times New Roman" w:eastAsia="Times New Roman" w:hAnsi="Times New Roman" w:cs="Times New Roman"/>
                <w:bCs/>
                <w:color w:val="000000"/>
                <w:lang w:eastAsia="el-GR"/>
              </w:rPr>
              <w:t>. Ε.Σ Τρίπολης</w:t>
            </w:r>
          </w:p>
        </w:tc>
        <w:tc>
          <w:tcPr>
            <w:tcW w:w="4949" w:type="dxa"/>
            <w:tcBorders>
              <w:top w:val="nil"/>
              <w:left w:val="nil"/>
              <w:bottom w:val="single" w:sz="8" w:space="0" w:color="auto"/>
              <w:right w:val="single" w:sz="8" w:space="0" w:color="auto"/>
            </w:tcBorders>
            <w:shd w:val="clear" w:color="000000" w:fill="FFFFFF"/>
            <w:vAlign w:val="bottom"/>
            <w:hideMark/>
          </w:tcPr>
          <w:p w:rsidR="00764F00" w:rsidRPr="00514C06" w:rsidRDefault="00764F00" w:rsidP="009978C3">
            <w:pPr>
              <w:spacing w:after="0" w:line="240" w:lineRule="auto"/>
              <w:jc w:val="center"/>
              <w:rPr>
                <w:rFonts w:ascii="Times New Roman" w:eastAsia="Times New Roman" w:hAnsi="Times New Roman" w:cs="Times New Roman"/>
                <w:color w:val="000000"/>
                <w:lang w:eastAsia="el-GR"/>
              </w:rPr>
            </w:pPr>
            <w:r w:rsidRPr="00514C06">
              <w:rPr>
                <w:rFonts w:ascii="Times New Roman" w:eastAsia="Times New Roman" w:hAnsi="Times New Roman" w:cs="Times New Roman"/>
                <w:color w:val="000000"/>
                <w:lang w:eastAsia="el-GR"/>
              </w:rPr>
              <w:t>Στα ίδια επίπεδα</w:t>
            </w:r>
          </w:p>
        </w:tc>
      </w:tr>
      <w:tr w:rsidR="00764F00" w:rsidRPr="00514C06" w:rsidTr="00C75ED4">
        <w:trPr>
          <w:trHeight w:val="20"/>
        </w:trPr>
        <w:tc>
          <w:tcPr>
            <w:tcW w:w="3968" w:type="dxa"/>
            <w:tcBorders>
              <w:top w:val="single" w:sz="8" w:space="0" w:color="auto"/>
              <w:left w:val="single" w:sz="8" w:space="0" w:color="auto"/>
              <w:bottom w:val="single" w:sz="8" w:space="0" w:color="auto"/>
              <w:right w:val="single" w:sz="8" w:space="0" w:color="auto"/>
            </w:tcBorders>
            <w:shd w:val="clear" w:color="000000" w:fill="BFBFBF" w:themeFill="background1" w:themeFillShade="BF"/>
            <w:vAlign w:val="bottom"/>
            <w:hideMark/>
          </w:tcPr>
          <w:p w:rsidR="00764F00" w:rsidRPr="00514C06" w:rsidRDefault="00764F00" w:rsidP="009978C3">
            <w:pPr>
              <w:spacing w:after="0" w:line="240" w:lineRule="auto"/>
              <w:rPr>
                <w:rFonts w:ascii="Calibri" w:eastAsia="Times New Roman" w:hAnsi="Calibri" w:cs="Times New Roman"/>
                <w:b/>
                <w:bCs/>
                <w:color w:val="000000"/>
                <w:sz w:val="26"/>
                <w:szCs w:val="26"/>
                <w:lang w:eastAsia="el-GR"/>
              </w:rPr>
            </w:pPr>
            <w:r w:rsidRPr="00514C06">
              <w:rPr>
                <w:rFonts w:ascii="Calibri" w:eastAsia="Times New Roman" w:hAnsi="Calibri" w:cs="Times New Roman"/>
                <w:b/>
                <w:bCs/>
                <w:color w:val="000000"/>
                <w:sz w:val="26"/>
                <w:szCs w:val="26"/>
                <w:lang w:eastAsia="el-GR"/>
              </w:rPr>
              <w:t>ΜΕΣΟΣ ΟΡΟΣ ΠΤΩΣΗΣ</w:t>
            </w:r>
          </w:p>
        </w:tc>
        <w:tc>
          <w:tcPr>
            <w:tcW w:w="4949"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764F00" w:rsidRPr="00514C06" w:rsidRDefault="00764F00" w:rsidP="009978C3">
            <w:pPr>
              <w:spacing w:after="0" w:line="240" w:lineRule="auto"/>
              <w:jc w:val="center"/>
              <w:rPr>
                <w:rFonts w:ascii="Times New Roman" w:eastAsia="Times New Roman" w:hAnsi="Times New Roman" w:cs="Times New Roman"/>
                <w:b/>
                <w:bCs/>
                <w:color w:val="000000"/>
                <w:sz w:val="26"/>
                <w:szCs w:val="26"/>
                <w:lang w:eastAsia="el-GR"/>
              </w:rPr>
            </w:pPr>
            <w:r w:rsidRPr="00514C06">
              <w:rPr>
                <w:rFonts w:ascii="Times New Roman" w:eastAsia="Times New Roman" w:hAnsi="Times New Roman" w:cs="Times New Roman"/>
                <w:b/>
                <w:bCs/>
                <w:color w:val="000000"/>
                <w:sz w:val="26"/>
                <w:szCs w:val="26"/>
                <w:lang w:eastAsia="el-GR"/>
              </w:rPr>
              <w:t>-9,7%</w:t>
            </w:r>
          </w:p>
        </w:tc>
      </w:tr>
    </w:tbl>
    <w:p w:rsidR="00CF1E5D" w:rsidRPr="005F591A" w:rsidRDefault="00CF1E5D" w:rsidP="00CF1E5D">
      <w:pPr>
        <w:jc w:val="both"/>
      </w:pPr>
    </w:p>
    <w:sectPr w:rsidR="00CF1E5D" w:rsidRPr="005F591A" w:rsidSect="00C75ED4">
      <w:footerReference w:type="default" r:id="rId23"/>
      <w:pgSz w:w="11906" w:h="16838"/>
      <w:pgMar w:top="709" w:right="17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70B" w:rsidRDefault="0047470B" w:rsidP="003355BE">
      <w:pPr>
        <w:spacing w:after="0" w:line="240" w:lineRule="auto"/>
      </w:pPr>
      <w:r>
        <w:separator/>
      </w:r>
    </w:p>
  </w:endnote>
  <w:endnote w:type="continuationSeparator" w:id="0">
    <w:p w:rsidR="0047470B" w:rsidRDefault="0047470B" w:rsidP="00335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SF UI Display">
    <w:altName w:val="Times New Roman"/>
    <w:panose1 w:val="00000000000000000000"/>
    <w:charset w:val="00"/>
    <w:family w:val="roman"/>
    <w:notTrueType/>
    <w:pitch w:val="default"/>
    <w:sig w:usb0="00000000" w:usb1="00000000" w:usb2="00000000" w:usb3="00000000" w:csb0="00000000" w:csb1="00000000"/>
  </w:font>
  <w:font w:name=".SFUIDisplay-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545469"/>
      <w:docPartObj>
        <w:docPartGallery w:val="Page Numbers (Bottom of Page)"/>
        <w:docPartUnique/>
      </w:docPartObj>
    </w:sdtPr>
    <w:sdtContent>
      <w:p w:rsidR="00405DA0" w:rsidRDefault="00D26289">
        <w:pPr>
          <w:pStyle w:val="a5"/>
          <w:jc w:val="right"/>
        </w:pPr>
        <w:r>
          <w:fldChar w:fldCharType="begin"/>
        </w:r>
        <w:r w:rsidR="00F80423">
          <w:instrText xml:space="preserve"> PAGE   \* MERGEFORMAT </w:instrText>
        </w:r>
        <w:r>
          <w:fldChar w:fldCharType="separate"/>
        </w:r>
        <w:r w:rsidR="00925115">
          <w:rPr>
            <w:noProof/>
          </w:rPr>
          <w:t>8</w:t>
        </w:r>
        <w:r>
          <w:rPr>
            <w:noProof/>
          </w:rPr>
          <w:fldChar w:fldCharType="end"/>
        </w:r>
      </w:p>
    </w:sdtContent>
  </w:sdt>
  <w:p w:rsidR="00405DA0" w:rsidRDefault="00405D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70B" w:rsidRDefault="0047470B" w:rsidP="003355BE">
      <w:pPr>
        <w:spacing w:after="0" w:line="240" w:lineRule="auto"/>
      </w:pPr>
      <w:r>
        <w:separator/>
      </w:r>
    </w:p>
  </w:footnote>
  <w:footnote w:type="continuationSeparator" w:id="0">
    <w:p w:rsidR="0047470B" w:rsidRDefault="0047470B" w:rsidP="003355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60650"/>
    <w:multiLevelType w:val="hybridMultilevel"/>
    <w:tmpl w:val="AAECC1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02541F"/>
    <w:multiLevelType w:val="hybridMultilevel"/>
    <w:tmpl w:val="B93CC1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7651080"/>
    <w:multiLevelType w:val="hybridMultilevel"/>
    <w:tmpl w:val="79AEAF10"/>
    <w:lvl w:ilvl="0" w:tplc="00000001">
      <w:start w:val="1"/>
      <w:numFmt w:val="bullet"/>
      <w:lvlText w:val=""/>
      <w:lvlJc w:val="left"/>
      <w:pPr>
        <w:ind w:left="720" w:hanging="360"/>
      </w:pPr>
      <w:rPr>
        <w:rFonts w:ascii="Symbol" w:hAnsi="Symbol" w:cs="Symbol"/>
        <w:sz w:val="28"/>
        <w:szCs w:val="28"/>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27727805"/>
    <w:multiLevelType w:val="hybridMultilevel"/>
    <w:tmpl w:val="6408E30C"/>
    <w:lvl w:ilvl="0" w:tplc="04080001">
      <w:start w:val="1"/>
      <w:numFmt w:val="bullet"/>
      <w:lvlText w:val=""/>
      <w:lvlJc w:val="left"/>
      <w:pPr>
        <w:ind w:left="540" w:hanging="360"/>
      </w:pPr>
      <w:rPr>
        <w:rFonts w:ascii="Symbol" w:hAnsi="Symbol"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5">
    <w:nsid w:val="37A9084A"/>
    <w:multiLevelType w:val="hybridMultilevel"/>
    <w:tmpl w:val="690C5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7DB19E7"/>
    <w:multiLevelType w:val="hybridMultilevel"/>
    <w:tmpl w:val="EA6AACF4"/>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8277DE6"/>
    <w:multiLevelType w:val="hybridMultilevel"/>
    <w:tmpl w:val="6E320A02"/>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00A7F61"/>
    <w:multiLevelType w:val="hybridMultilevel"/>
    <w:tmpl w:val="F1D047B6"/>
    <w:lvl w:ilvl="0" w:tplc="371EF540">
      <w:start w:val="1"/>
      <w:numFmt w:val="decimal"/>
      <w:lvlText w:val="%1."/>
      <w:lvlJc w:val="left"/>
      <w:pPr>
        <w:tabs>
          <w:tab w:val="num" w:pos="740"/>
        </w:tabs>
        <w:ind w:left="740" w:hanging="38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9">
    <w:nsid w:val="49F618B0"/>
    <w:multiLevelType w:val="hybridMultilevel"/>
    <w:tmpl w:val="B1A462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C593A18"/>
    <w:multiLevelType w:val="hybridMultilevel"/>
    <w:tmpl w:val="F296FE7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C964C78"/>
    <w:multiLevelType w:val="hybridMultilevel"/>
    <w:tmpl w:val="CB5C0406"/>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DBB33A5"/>
    <w:multiLevelType w:val="hybridMultilevel"/>
    <w:tmpl w:val="00285EE8"/>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1B54C93"/>
    <w:multiLevelType w:val="hybridMultilevel"/>
    <w:tmpl w:val="CD828A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80D2643"/>
    <w:multiLevelType w:val="hybridMultilevel"/>
    <w:tmpl w:val="47DE984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5C2D763B"/>
    <w:multiLevelType w:val="hybridMultilevel"/>
    <w:tmpl w:val="FFE6C850"/>
    <w:lvl w:ilvl="0" w:tplc="04080013">
      <w:start w:val="1"/>
      <w:numFmt w:val="upperRoman"/>
      <w:lvlText w:val="%1."/>
      <w:lvlJc w:val="righ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5C5315DE"/>
    <w:multiLevelType w:val="hybridMultilevel"/>
    <w:tmpl w:val="3A089026"/>
    <w:lvl w:ilvl="0" w:tplc="04090001">
      <w:start w:val="1"/>
      <w:numFmt w:val="bullet"/>
      <w:lvlText w:val=""/>
      <w:lvlJc w:val="left"/>
      <w:pPr>
        <w:ind w:left="14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DCA5E29"/>
    <w:multiLevelType w:val="hybridMultilevel"/>
    <w:tmpl w:val="08E8092A"/>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46C12F1"/>
    <w:multiLevelType w:val="hybridMultilevel"/>
    <w:tmpl w:val="4D342C22"/>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nsid w:val="7E526933"/>
    <w:multiLevelType w:val="hybridMultilevel"/>
    <w:tmpl w:val="3E0E140E"/>
    <w:lvl w:ilvl="0" w:tplc="87CC16A2">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E6B17A4"/>
    <w:multiLevelType w:val="hybridMultilevel"/>
    <w:tmpl w:val="CC9E5FA8"/>
    <w:lvl w:ilvl="0" w:tplc="00000001">
      <w:start w:val="1"/>
      <w:numFmt w:val="bullet"/>
      <w:lvlText w:val=""/>
      <w:lvlJc w:val="left"/>
      <w:pPr>
        <w:ind w:left="720" w:hanging="360"/>
      </w:pPr>
      <w:rPr>
        <w:rFonts w:ascii="Symbol" w:hAnsi="Symbol" w:cs="Symbol"/>
        <w:sz w:val="28"/>
        <w:szCs w:val="28"/>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3"/>
  </w:num>
  <w:num w:numId="2">
    <w:abstractNumId w:val="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5"/>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15CE9"/>
    <w:rsid w:val="00006A75"/>
    <w:rsid w:val="0002389D"/>
    <w:rsid w:val="000310A5"/>
    <w:rsid w:val="00052138"/>
    <w:rsid w:val="00055B89"/>
    <w:rsid w:val="00060AEF"/>
    <w:rsid w:val="00066F46"/>
    <w:rsid w:val="0007480A"/>
    <w:rsid w:val="00084AF3"/>
    <w:rsid w:val="000A099E"/>
    <w:rsid w:val="000A2184"/>
    <w:rsid w:val="000B64CE"/>
    <w:rsid w:val="000C05B0"/>
    <w:rsid w:val="000D0B5E"/>
    <w:rsid w:val="00103F08"/>
    <w:rsid w:val="00116558"/>
    <w:rsid w:val="001252FD"/>
    <w:rsid w:val="0012713B"/>
    <w:rsid w:val="00147C1C"/>
    <w:rsid w:val="001566A7"/>
    <w:rsid w:val="0016634E"/>
    <w:rsid w:val="0016708A"/>
    <w:rsid w:val="00171921"/>
    <w:rsid w:val="0017799A"/>
    <w:rsid w:val="001800DB"/>
    <w:rsid w:val="001852DF"/>
    <w:rsid w:val="00192158"/>
    <w:rsid w:val="00194683"/>
    <w:rsid w:val="001A1235"/>
    <w:rsid w:val="001A4487"/>
    <w:rsid w:val="001D3663"/>
    <w:rsid w:val="001E69B3"/>
    <w:rsid w:val="001F1252"/>
    <w:rsid w:val="002124F2"/>
    <w:rsid w:val="00214255"/>
    <w:rsid w:val="00223067"/>
    <w:rsid w:val="00225CEA"/>
    <w:rsid w:val="00234DE0"/>
    <w:rsid w:val="00242D90"/>
    <w:rsid w:val="0025003D"/>
    <w:rsid w:val="00251B6E"/>
    <w:rsid w:val="002561D7"/>
    <w:rsid w:val="00263C7E"/>
    <w:rsid w:val="00275F27"/>
    <w:rsid w:val="00284E5C"/>
    <w:rsid w:val="00294BD8"/>
    <w:rsid w:val="00294CA7"/>
    <w:rsid w:val="002A28C6"/>
    <w:rsid w:val="002A5116"/>
    <w:rsid w:val="002B4907"/>
    <w:rsid w:val="002C47CB"/>
    <w:rsid w:val="002E3D01"/>
    <w:rsid w:val="002F3649"/>
    <w:rsid w:val="002F4C2E"/>
    <w:rsid w:val="002F73B6"/>
    <w:rsid w:val="00304653"/>
    <w:rsid w:val="00305351"/>
    <w:rsid w:val="003153A3"/>
    <w:rsid w:val="00315D1D"/>
    <w:rsid w:val="00326570"/>
    <w:rsid w:val="00332B9B"/>
    <w:rsid w:val="00333957"/>
    <w:rsid w:val="003355BE"/>
    <w:rsid w:val="00337A00"/>
    <w:rsid w:val="0034621C"/>
    <w:rsid w:val="00347B06"/>
    <w:rsid w:val="00353F7E"/>
    <w:rsid w:val="003563E0"/>
    <w:rsid w:val="0035793C"/>
    <w:rsid w:val="00357CB1"/>
    <w:rsid w:val="0036208C"/>
    <w:rsid w:val="00364DC5"/>
    <w:rsid w:val="00372531"/>
    <w:rsid w:val="003A422E"/>
    <w:rsid w:val="003A76FD"/>
    <w:rsid w:val="003B1973"/>
    <w:rsid w:val="003B6526"/>
    <w:rsid w:val="003B7942"/>
    <w:rsid w:val="003C0D75"/>
    <w:rsid w:val="003F50E1"/>
    <w:rsid w:val="00401EB4"/>
    <w:rsid w:val="00405DA0"/>
    <w:rsid w:val="00413080"/>
    <w:rsid w:val="004240F1"/>
    <w:rsid w:val="0043712D"/>
    <w:rsid w:val="004427EB"/>
    <w:rsid w:val="00451E24"/>
    <w:rsid w:val="00464454"/>
    <w:rsid w:val="0047470B"/>
    <w:rsid w:val="00476E6F"/>
    <w:rsid w:val="00481FA2"/>
    <w:rsid w:val="004A3235"/>
    <w:rsid w:val="004A75ED"/>
    <w:rsid w:val="004B158C"/>
    <w:rsid w:val="004B1639"/>
    <w:rsid w:val="004B36E4"/>
    <w:rsid w:val="004B4636"/>
    <w:rsid w:val="004C1745"/>
    <w:rsid w:val="004C5792"/>
    <w:rsid w:val="004D0518"/>
    <w:rsid w:val="004D4874"/>
    <w:rsid w:val="004E081A"/>
    <w:rsid w:val="004F0261"/>
    <w:rsid w:val="004F4AAB"/>
    <w:rsid w:val="004F56EE"/>
    <w:rsid w:val="00503FA5"/>
    <w:rsid w:val="0051692D"/>
    <w:rsid w:val="00516B4D"/>
    <w:rsid w:val="0052054C"/>
    <w:rsid w:val="00532176"/>
    <w:rsid w:val="005328CB"/>
    <w:rsid w:val="00540468"/>
    <w:rsid w:val="0054348D"/>
    <w:rsid w:val="0054562C"/>
    <w:rsid w:val="005502A1"/>
    <w:rsid w:val="005508CC"/>
    <w:rsid w:val="00552288"/>
    <w:rsid w:val="00571891"/>
    <w:rsid w:val="005855C7"/>
    <w:rsid w:val="00587DD8"/>
    <w:rsid w:val="00591083"/>
    <w:rsid w:val="00592D5C"/>
    <w:rsid w:val="00594899"/>
    <w:rsid w:val="00594A88"/>
    <w:rsid w:val="005B0F0E"/>
    <w:rsid w:val="005C567A"/>
    <w:rsid w:val="005C7A60"/>
    <w:rsid w:val="005F0D93"/>
    <w:rsid w:val="005F5867"/>
    <w:rsid w:val="00607FB4"/>
    <w:rsid w:val="00611272"/>
    <w:rsid w:val="0062166F"/>
    <w:rsid w:val="006258F0"/>
    <w:rsid w:val="00632ABB"/>
    <w:rsid w:val="006427C6"/>
    <w:rsid w:val="006463DA"/>
    <w:rsid w:val="0065278F"/>
    <w:rsid w:val="00654A6F"/>
    <w:rsid w:val="00657094"/>
    <w:rsid w:val="00670299"/>
    <w:rsid w:val="006717ED"/>
    <w:rsid w:val="006732AC"/>
    <w:rsid w:val="006931AF"/>
    <w:rsid w:val="0069638F"/>
    <w:rsid w:val="006C52E7"/>
    <w:rsid w:val="006C5B34"/>
    <w:rsid w:val="006D6336"/>
    <w:rsid w:val="006E54C5"/>
    <w:rsid w:val="006F0993"/>
    <w:rsid w:val="006F5E1C"/>
    <w:rsid w:val="007133C3"/>
    <w:rsid w:val="00723500"/>
    <w:rsid w:val="00725624"/>
    <w:rsid w:val="00727CB2"/>
    <w:rsid w:val="00727D28"/>
    <w:rsid w:val="00742B5E"/>
    <w:rsid w:val="00751BFB"/>
    <w:rsid w:val="00764F00"/>
    <w:rsid w:val="007650AD"/>
    <w:rsid w:val="007707EF"/>
    <w:rsid w:val="00776F9A"/>
    <w:rsid w:val="0078329E"/>
    <w:rsid w:val="007833B3"/>
    <w:rsid w:val="0079679A"/>
    <w:rsid w:val="007B1D34"/>
    <w:rsid w:val="007B3A41"/>
    <w:rsid w:val="007B3CD9"/>
    <w:rsid w:val="007C4341"/>
    <w:rsid w:val="007C5C44"/>
    <w:rsid w:val="007E19E0"/>
    <w:rsid w:val="007E3107"/>
    <w:rsid w:val="007F099E"/>
    <w:rsid w:val="00826ED4"/>
    <w:rsid w:val="008309C2"/>
    <w:rsid w:val="00847D49"/>
    <w:rsid w:val="00850CF6"/>
    <w:rsid w:val="00866814"/>
    <w:rsid w:val="00873F55"/>
    <w:rsid w:val="00874156"/>
    <w:rsid w:val="00877433"/>
    <w:rsid w:val="008B1171"/>
    <w:rsid w:val="008B451B"/>
    <w:rsid w:val="008D44B8"/>
    <w:rsid w:val="008F2605"/>
    <w:rsid w:val="00910DC8"/>
    <w:rsid w:val="009120C2"/>
    <w:rsid w:val="00915945"/>
    <w:rsid w:val="009203A7"/>
    <w:rsid w:val="00922B65"/>
    <w:rsid w:val="009236C1"/>
    <w:rsid w:val="00925115"/>
    <w:rsid w:val="00933EFF"/>
    <w:rsid w:val="00947930"/>
    <w:rsid w:val="0095065F"/>
    <w:rsid w:val="0095373F"/>
    <w:rsid w:val="0095629A"/>
    <w:rsid w:val="00957079"/>
    <w:rsid w:val="009725F1"/>
    <w:rsid w:val="00975166"/>
    <w:rsid w:val="0098030C"/>
    <w:rsid w:val="009978C3"/>
    <w:rsid w:val="009A09E8"/>
    <w:rsid w:val="009B3363"/>
    <w:rsid w:val="009C1F9E"/>
    <w:rsid w:val="009C208A"/>
    <w:rsid w:val="009C236E"/>
    <w:rsid w:val="009C7E61"/>
    <w:rsid w:val="009D2F8D"/>
    <w:rsid w:val="009D4227"/>
    <w:rsid w:val="009D6079"/>
    <w:rsid w:val="009F69FE"/>
    <w:rsid w:val="00A007A4"/>
    <w:rsid w:val="00A01679"/>
    <w:rsid w:val="00A03F30"/>
    <w:rsid w:val="00A13D1F"/>
    <w:rsid w:val="00A2219D"/>
    <w:rsid w:val="00A24371"/>
    <w:rsid w:val="00A53766"/>
    <w:rsid w:val="00A578BF"/>
    <w:rsid w:val="00A83FF4"/>
    <w:rsid w:val="00AA29D2"/>
    <w:rsid w:val="00AA5359"/>
    <w:rsid w:val="00AA78EF"/>
    <w:rsid w:val="00AB29E4"/>
    <w:rsid w:val="00AE0F14"/>
    <w:rsid w:val="00AE2857"/>
    <w:rsid w:val="00AF066D"/>
    <w:rsid w:val="00AF1500"/>
    <w:rsid w:val="00B02D33"/>
    <w:rsid w:val="00B050CA"/>
    <w:rsid w:val="00B103BC"/>
    <w:rsid w:val="00B32244"/>
    <w:rsid w:val="00B35389"/>
    <w:rsid w:val="00B63C90"/>
    <w:rsid w:val="00B734AE"/>
    <w:rsid w:val="00B7592E"/>
    <w:rsid w:val="00B77FDD"/>
    <w:rsid w:val="00BB63AC"/>
    <w:rsid w:val="00BC3F79"/>
    <w:rsid w:val="00BF13E6"/>
    <w:rsid w:val="00BF1D72"/>
    <w:rsid w:val="00BF7604"/>
    <w:rsid w:val="00C001C4"/>
    <w:rsid w:val="00C028C5"/>
    <w:rsid w:val="00C0315E"/>
    <w:rsid w:val="00C15755"/>
    <w:rsid w:val="00C15CE9"/>
    <w:rsid w:val="00C22A27"/>
    <w:rsid w:val="00C242E4"/>
    <w:rsid w:val="00C30346"/>
    <w:rsid w:val="00C326BC"/>
    <w:rsid w:val="00C34D2C"/>
    <w:rsid w:val="00C459C0"/>
    <w:rsid w:val="00C51C9E"/>
    <w:rsid w:val="00C667D6"/>
    <w:rsid w:val="00C66A7D"/>
    <w:rsid w:val="00C70810"/>
    <w:rsid w:val="00C75ED4"/>
    <w:rsid w:val="00CB4F30"/>
    <w:rsid w:val="00CC3B05"/>
    <w:rsid w:val="00CC4B5B"/>
    <w:rsid w:val="00CD00F6"/>
    <w:rsid w:val="00CD013C"/>
    <w:rsid w:val="00CD0E67"/>
    <w:rsid w:val="00CE21C8"/>
    <w:rsid w:val="00CE2D76"/>
    <w:rsid w:val="00CE50A9"/>
    <w:rsid w:val="00CE6300"/>
    <w:rsid w:val="00CF1E5D"/>
    <w:rsid w:val="00D14BF6"/>
    <w:rsid w:val="00D26289"/>
    <w:rsid w:val="00D31D8D"/>
    <w:rsid w:val="00D44554"/>
    <w:rsid w:val="00D450E5"/>
    <w:rsid w:val="00D455DF"/>
    <w:rsid w:val="00D55A03"/>
    <w:rsid w:val="00D6348E"/>
    <w:rsid w:val="00D675DA"/>
    <w:rsid w:val="00D705A5"/>
    <w:rsid w:val="00D77F34"/>
    <w:rsid w:val="00D828D0"/>
    <w:rsid w:val="00D843AD"/>
    <w:rsid w:val="00D9113E"/>
    <w:rsid w:val="00D919D0"/>
    <w:rsid w:val="00D92E9C"/>
    <w:rsid w:val="00DB5613"/>
    <w:rsid w:val="00DC0B16"/>
    <w:rsid w:val="00DC705B"/>
    <w:rsid w:val="00DD0A5A"/>
    <w:rsid w:val="00DD4951"/>
    <w:rsid w:val="00DD57DA"/>
    <w:rsid w:val="00DE7773"/>
    <w:rsid w:val="00E06593"/>
    <w:rsid w:val="00E23BF1"/>
    <w:rsid w:val="00E24FFE"/>
    <w:rsid w:val="00E3059A"/>
    <w:rsid w:val="00E33195"/>
    <w:rsid w:val="00E528AA"/>
    <w:rsid w:val="00E60B0B"/>
    <w:rsid w:val="00E64512"/>
    <w:rsid w:val="00E67A81"/>
    <w:rsid w:val="00E70D7A"/>
    <w:rsid w:val="00E71E65"/>
    <w:rsid w:val="00E77EB5"/>
    <w:rsid w:val="00E8466D"/>
    <w:rsid w:val="00E84A80"/>
    <w:rsid w:val="00E96015"/>
    <w:rsid w:val="00EA2BF8"/>
    <w:rsid w:val="00EA5EE2"/>
    <w:rsid w:val="00EB3C2E"/>
    <w:rsid w:val="00EC4733"/>
    <w:rsid w:val="00EC608F"/>
    <w:rsid w:val="00EE18AA"/>
    <w:rsid w:val="00EF2778"/>
    <w:rsid w:val="00EF5ACF"/>
    <w:rsid w:val="00EF63A1"/>
    <w:rsid w:val="00F25316"/>
    <w:rsid w:val="00F273D9"/>
    <w:rsid w:val="00F54E69"/>
    <w:rsid w:val="00F72521"/>
    <w:rsid w:val="00F80423"/>
    <w:rsid w:val="00F92E99"/>
    <w:rsid w:val="00F93FB6"/>
    <w:rsid w:val="00FA421E"/>
    <w:rsid w:val="00FA6F60"/>
    <w:rsid w:val="00FB609B"/>
    <w:rsid w:val="00FC472D"/>
    <w:rsid w:val="00FD2B15"/>
    <w:rsid w:val="00FD2D80"/>
    <w:rsid w:val="00FD66C7"/>
    <w:rsid w:val="00FE1EEE"/>
    <w:rsid w:val="00FE5F4C"/>
    <w:rsid w:val="00FE6090"/>
    <w:rsid w:val="00FF17D7"/>
    <w:rsid w:val="00FF3E75"/>
    <w:rsid w:val="00FF43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D72"/>
  </w:style>
  <w:style w:type="paragraph" w:styleId="2">
    <w:name w:val="heading 2"/>
    <w:basedOn w:val="a"/>
    <w:next w:val="a"/>
    <w:link w:val="2Char"/>
    <w:qFormat/>
    <w:rsid w:val="00E06593"/>
    <w:pPr>
      <w:keepNext/>
      <w:keepLines/>
      <w:spacing w:before="200" w:after="0"/>
      <w:outlineLvl w:val="1"/>
    </w:pPr>
    <w:rPr>
      <w:rFonts w:ascii="Cambria" w:eastAsia="Calibri"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5CE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15CE9"/>
    <w:rPr>
      <w:rFonts w:ascii="Tahoma" w:hAnsi="Tahoma" w:cs="Tahoma"/>
      <w:sz w:val="16"/>
      <w:szCs w:val="16"/>
    </w:rPr>
  </w:style>
  <w:style w:type="paragraph" w:styleId="a4">
    <w:name w:val="header"/>
    <w:basedOn w:val="a"/>
    <w:link w:val="Char0"/>
    <w:uiPriority w:val="99"/>
    <w:semiHidden/>
    <w:unhideWhenUsed/>
    <w:rsid w:val="003355BE"/>
    <w:pPr>
      <w:tabs>
        <w:tab w:val="center" w:pos="4153"/>
        <w:tab w:val="right" w:pos="8306"/>
      </w:tabs>
      <w:spacing w:after="0" w:line="240" w:lineRule="auto"/>
    </w:pPr>
  </w:style>
  <w:style w:type="character" w:customStyle="1" w:styleId="Char0">
    <w:name w:val="Κεφαλίδα Char"/>
    <w:basedOn w:val="a0"/>
    <w:link w:val="a4"/>
    <w:uiPriority w:val="99"/>
    <w:semiHidden/>
    <w:rsid w:val="003355BE"/>
  </w:style>
  <w:style w:type="paragraph" w:styleId="a5">
    <w:name w:val="footer"/>
    <w:basedOn w:val="a"/>
    <w:link w:val="Char1"/>
    <w:uiPriority w:val="99"/>
    <w:unhideWhenUsed/>
    <w:rsid w:val="003355BE"/>
    <w:pPr>
      <w:tabs>
        <w:tab w:val="center" w:pos="4153"/>
        <w:tab w:val="right" w:pos="8306"/>
      </w:tabs>
      <w:spacing w:after="0" w:line="240" w:lineRule="auto"/>
    </w:pPr>
  </w:style>
  <w:style w:type="character" w:customStyle="1" w:styleId="Char1">
    <w:name w:val="Υποσέλιδο Char"/>
    <w:basedOn w:val="a0"/>
    <w:link w:val="a5"/>
    <w:uiPriority w:val="99"/>
    <w:rsid w:val="003355BE"/>
  </w:style>
  <w:style w:type="paragraph" w:customStyle="1" w:styleId="s10">
    <w:name w:val="s10"/>
    <w:basedOn w:val="a"/>
    <w:rsid w:val="00532176"/>
    <w:pPr>
      <w:spacing w:before="100" w:beforeAutospacing="1" w:after="100" w:afterAutospacing="1" w:line="240" w:lineRule="auto"/>
    </w:pPr>
    <w:rPr>
      <w:rFonts w:ascii="Times New Roman" w:hAnsi="Times New Roman" w:cs="Times New Roman"/>
      <w:sz w:val="24"/>
      <w:szCs w:val="24"/>
      <w:lang w:eastAsia="el-GR"/>
    </w:rPr>
  </w:style>
  <w:style w:type="paragraph" w:customStyle="1" w:styleId="s12">
    <w:name w:val="s12"/>
    <w:basedOn w:val="a"/>
    <w:rsid w:val="00532176"/>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9">
    <w:name w:val="s9"/>
    <w:basedOn w:val="a0"/>
    <w:rsid w:val="00532176"/>
  </w:style>
  <w:style w:type="character" w:customStyle="1" w:styleId="s11">
    <w:name w:val="s11"/>
    <w:basedOn w:val="a0"/>
    <w:rsid w:val="00532176"/>
  </w:style>
  <w:style w:type="character" w:customStyle="1" w:styleId="s13">
    <w:name w:val="s13"/>
    <w:basedOn w:val="a0"/>
    <w:rsid w:val="00532176"/>
  </w:style>
  <w:style w:type="paragraph" w:customStyle="1" w:styleId="s5">
    <w:name w:val="s5"/>
    <w:basedOn w:val="a"/>
    <w:rsid w:val="007E3107"/>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3">
    <w:name w:val="s3"/>
    <w:basedOn w:val="a0"/>
    <w:rsid w:val="007E3107"/>
  </w:style>
  <w:style w:type="character" w:customStyle="1" w:styleId="s8">
    <w:name w:val="s8"/>
    <w:basedOn w:val="a0"/>
    <w:rsid w:val="007E3107"/>
  </w:style>
  <w:style w:type="paragraph" w:styleId="a6">
    <w:name w:val="List Paragraph"/>
    <w:basedOn w:val="a"/>
    <w:uiPriority w:val="34"/>
    <w:qFormat/>
    <w:rsid w:val="004C1745"/>
    <w:pPr>
      <w:ind w:left="720"/>
      <w:contextualSpacing/>
    </w:pPr>
    <w:rPr>
      <w:rFonts w:ascii="Calibri" w:eastAsia="Calibri" w:hAnsi="Calibri" w:cs="Times New Roman"/>
    </w:rPr>
  </w:style>
  <w:style w:type="paragraph" w:styleId="20">
    <w:name w:val="Body Text Indent 2"/>
    <w:basedOn w:val="a"/>
    <w:link w:val="2Char0"/>
    <w:rsid w:val="001800DB"/>
    <w:pPr>
      <w:spacing w:after="120" w:line="480" w:lineRule="auto"/>
      <w:ind w:left="283"/>
    </w:pPr>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0"/>
    <w:link w:val="20"/>
    <w:rsid w:val="001800DB"/>
    <w:rPr>
      <w:rFonts w:ascii="Times New Roman" w:eastAsia="Times New Roman" w:hAnsi="Times New Roman" w:cs="Times New Roman"/>
      <w:sz w:val="24"/>
      <w:szCs w:val="24"/>
      <w:lang w:eastAsia="el-GR"/>
    </w:rPr>
  </w:style>
  <w:style w:type="paragraph" w:styleId="Web">
    <w:name w:val="Normal (Web)"/>
    <w:basedOn w:val="a"/>
    <w:uiPriority w:val="99"/>
    <w:unhideWhenUsed/>
    <w:rsid w:val="00552288"/>
    <w:pPr>
      <w:spacing w:before="100" w:beforeAutospacing="1" w:after="100" w:afterAutospacing="1" w:line="240" w:lineRule="auto"/>
    </w:pPr>
    <w:rPr>
      <w:rFonts w:ascii="Times New Roman" w:hAnsi="Times New Roman" w:cs="Times New Roman"/>
      <w:sz w:val="24"/>
      <w:szCs w:val="24"/>
      <w:lang w:eastAsia="el-GR"/>
    </w:rPr>
  </w:style>
  <w:style w:type="character" w:styleId="a7">
    <w:name w:val="Emphasis"/>
    <w:basedOn w:val="a0"/>
    <w:qFormat/>
    <w:rsid w:val="00CD00F6"/>
    <w:rPr>
      <w:i/>
      <w:iCs/>
    </w:rPr>
  </w:style>
  <w:style w:type="paragraph" w:customStyle="1" w:styleId="s4">
    <w:name w:val="s4"/>
    <w:basedOn w:val="a"/>
    <w:rsid w:val="005F5867"/>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iv3201444370msonormal">
    <w:name w:val="yiv3201444370msonormal"/>
    <w:basedOn w:val="a"/>
    <w:rsid w:val="00654A6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Body Text"/>
    <w:basedOn w:val="a"/>
    <w:link w:val="Char2"/>
    <w:uiPriority w:val="99"/>
    <w:semiHidden/>
    <w:unhideWhenUsed/>
    <w:rsid w:val="006C5B34"/>
    <w:pPr>
      <w:spacing w:after="120"/>
    </w:pPr>
  </w:style>
  <w:style w:type="character" w:customStyle="1" w:styleId="Char2">
    <w:name w:val="Σώμα κειμένου Char"/>
    <w:basedOn w:val="a0"/>
    <w:link w:val="a8"/>
    <w:uiPriority w:val="99"/>
    <w:semiHidden/>
    <w:rsid w:val="006C5B34"/>
  </w:style>
  <w:style w:type="paragraph" w:styleId="a9">
    <w:name w:val="caption"/>
    <w:basedOn w:val="a"/>
    <w:next w:val="a"/>
    <w:semiHidden/>
    <w:unhideWhenUsed/>
    <w:qFormat/>
    <w:rsid w:val="006C5B34"/>
    <w:pPr>
      <w:spacing w:after="0" w:line="240" w:lineRule="auto"/>
      <w:jc w:val="center"/>
    </w:pPr>
    <w:rPr>
      <w:rFonts w:ascii="Times New Roman" w:eastAsia="Times New Roman" w:hAnsi="Times New Roman" w:cs="Times New Roman"/>
      <w:b/>
      <w:bCs/>
      <w:i/>
      <w:iCs/>
      <w:sz w:val="24"/>
      <w:szCs w:val="24"/>
      <w:lang w:eastAsia="el-GR"/>
    </w:rPr>
  </w:style>
  <w:style w:type="paragraph" w:customStyle="1" w:styleId="s2">
    <w:name w:val="s2"/>
    <w:basedOn w:val="a"/>
    <w:rsid w:val="006C5B34"/>
    <w:pPr>
      <w:spacing w:before="100" w:beforeAutospacing="1" w:after="100" w:afterAutospacing="1" w:line="240" w:lineRule="auto"/>
    </w:pPr>
    <w:rPr>
      <w:rFonts w:ascii="Times New Roman" w:hAnsi="Times New Roman" w:cs="Times New Roman"/>
      <w:sz w:val="24"/>
      <w:szCs w:val="24"/>
      <w:lang w:eastAsia="el-GR"/>
    </w:rPr>
  </w:style>
  <w:style w:type="character" w:customStyle="1" w:styleId="bumpedfont15">
    <w:name w:val="bumpedfont15"/>
    <w:basedOn w:val="a0"/>
    <w:rsid w:val="006C5B34"/>
  </w:style>
  <w:style w:type="paragraph" w:styleId="aa">
    <w:name w:val="footnote text"/>
    <w:basedOn w:val="a"/>
    <w:link w:val="Char3"/>
    <w:uiPriority w:val="99"/>
    <w:semiHidden/>
    <w:unhideWhenUsed/>
    <w:rsid w:val="009F69FE"/>
    <w:pPr>
      <w:spacing w:after="0" w:line="240" w:lineRule="auto"/>
    </w:pPr>
    <w:rPr>
      <w:rFonts w:ascii="Times New Roman" w:eastAsia="Times New Roman" w:hAnsi="Times New Roman" w:cs="Times New Roman"/>
      <w:sz w:val="20"/>
      <w:szCs w:val="20"/>
      <w:lang w:eastAsia="el-GR"/>
    </w:rPr>
  </w:style>
  <w:style w:type="character" w:customStyle="1" w:styleId="Char3">
    <w:name w:val="Κείμενο υποσημείωσης Char"/>
    <w:basedOn w:val="a0"/>
    <w:link w:val="aa"/>
    <w:uiPriority w:val="99"/>
    <w:semiHidden/>
    <w:rsid w:val="009F69FE"/>
    <w:rPr>
      <w:rFonts w:ascii="Times New Roman" w:eastAsia="Times New Roman" w:hAnsi="Times New Roman" w:cs="Times New Roman"/>
      <w:sz w:val="20"/>
      <w:szCs w:val="20"/>
      <w:lang w:eastAsia="el-GR"/>
    </w:rPr>
  </w:style>
  <w:style w:type="paragraph" w:customStyle="1" w:styleId="TableParagraph">
    <w:name w:val="Table Paragraph"/>
    <w:basedOn w:val="a"/>
    <w:uiPriority w:val="1"/>
    <w:qFormat/>
    <w:rsid w:val="009F69FE"/>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b">
    <w:name w:val="footnote reference"/>
    <w:basedOn w:val="a0"/>
    <w:uiPriority w:val="99"/>
    <w:semiHidden/>
    <w:unhideWhenUsed/>
    <w:rsid w:val="009F69FE"/>
    <w:rPr>
      <w:vertAlign w:val="superscript"/>
    </w:rPr>
  </w:style>
  <w:style w:type="character" w:styleId="-">
    <w:name w:val="Hyperlink"/>
    <w:basedOn w:val="a0"/>
    <w:uiPriority w:val="99"/>
    <w:semiHidden/>
    <w:unhideWhenUsed/>
    <w:rsid w:val="009F69FE"/>
    <w:rPr>
      <w:color w:val="0000FF"/>
      <w:u w:val="single"/>
    </w:rPr>
  </w:style>
  <w:style w:type="paragraph" w:styleId="ac">
    <w:name w:val="Body Text Indent"/>
    <w:basedOn w:val="a"/>
    <w:link w:val="Char4"/>
    <w:uiPriority w:val="99"/>
    <w:semiHidden/>
    <w:unhideWhenUsed/>
    <w:rsid w:val="009B3363"/>
    <w:pPr>
      <w:spacing w:after="120"/>
      <w:ind w:left="283"/>
    </w:pPr>
  </w:style>
  <w:style w:type="character" w:customStyle="1" w:styleId="Char4">
    <w:name w:val="Σώμα κείμενου με εσοχή Char"/>
    <w:basedOn w:val="a0"/>
    <w:link w:val="ac"/>
    <w:uiPriority w:val="99"/>
    <w:semiHidden/>
    <w:rsid w:val="009B3363"/>
  </w:style>
  <w:style w:type="character" w:styleId="ad">
    <w:name w:val="Strong"/>
    <w:basedOn w:val="a0"/>
    <w:qFormat/>
    <w:rsid w:val="009B3363"/>
    <w:rPr>
      <w:b/>
      <w:bCs/>
    </w:rPr>
  </w:style>
  <w:style w:type="paragraph" w:customStyle="1" w:styleId="s19">
    <w:name w:val="s19"/>
    <w:basedOn w:val="a"/>
    <w:rsid w:val="00E71E65"/>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16">
    <w:name w:val="s16"/>
    <w:basedOn w:val="a0"/>
    <w:rsid w:val="00E71E65"/>
  </w:style>
  <w:style w:type="paragraph" w:customStyle="1" w:styleId="s6">
    <w:name w:val="s6"/>
    <w:basedOn w:val="a"/>
    <w:rsid w:val="002124F2"/>
    <w:pPr>
      <w:spacing w:before="100" w:beforeAutospacing="1" w:after="100" w:afterAutospacing="1" w:line="240" w:lineRule="auto"/>
    </w:pPr>
    <w:rPr>
      <w:rFonts w:ascii="Times New Roman" w:hAnsi="Times New Roman" w:cs="Times New Roman"/>
      <w:sz w:val="24"/>
      <w:szCs w:val="24"/>
      <w:lang w:eastAsia="el-GR"/>
    </w:rPr>
  </w:style>
  <w:style w:type="character" w:customStyle="1" w:styleId="s7">
    <w:name w:val="s7"/>
    <w:basedOn w:val="a0"/>
    <w:rsid w:val="002124F2"/>
  </w:style>
  <w:style w:type="character" w:customStyle="1" w:styleId="s15">
    <w:name w:val="s15"/>
    <w:basedOn w:val="a0"/>
    <w:rsid w:val="002124F2"/>
  </w:style>
  <w:style w:type="paragraph" w:styleId="21">
    <w:name w:val="Body Text 2"/>
    <w:basedOn w:val="a"/>
    <w:link w:val="2Char1"/>
    <w:uiPriority w:val="99"/>
    <w:semiHidden/>
    <w:unhideWhenUsed/>
    <w:rsid w:val="009120C2"/>
    <w:pPr>
      <w:spacing w:after="120" w:line="480" w:lineRule="auto"/>
    </w:pPr>
  </w:style>
  <w:style w:type="character" w:customStyle="1" w:styleId="2Char1">
    <w:name w:val="Σώμα κείμενου 2 Char"/>
    <w:basedOn w:val="a0"/>
    <w:link w:val="21"/>
    <w:uiPriority w:val="99"/>
    <w:semiHidden/>
    <w:rsid w:val="009120C2"/>
  </w:style>
  <w:style w:type="character" w:customStyle="1" w:styleId="s14">
    <w:name w:val="s14"/>
    <w:basedOn w:val="a0"/>
    <w:rsid w:val="00E64512"/>
  </w:style>
  <w:style w:type="paragraph" w:styleId="ae">
    <w:name w:val="Plain Text"/>
    <w:basedOn w:val="a"/>
    <w:link w:val="Char5"/>
    <w:uiPriority w:val="99"/>
    <w:rsid w:val="00E64512"/>
    <w:pPr>
      <w:spacing w:after="0" w:line="240" w:lineRule="auto"/>
    </w:pPr>
    <w:rPr>
      <w:rFonts w:ascii="Consolas" w:eastAsia="Calibri" w:hAnsi="Consolas" w:cs="Times New Roman"/>
      <w:sz w:val="21"/>
      <w:szCs w:val="21"/>
    </w:rPr>
  </w:style>
  <w:style w:type="character" w:customStyle="1" w:styleId="Char5">
    <w:name w:val="Απλό κείμενο Char"/>
    <w:basedOn w:val="a0"/>
    <w:link w:val="ae"/>
    <w:uiPriority w:val="99"/>
    <w:rsid w:val="00E64512"/>
    <w:rPr>
      <w:rFonts w:ascii="Consolas" w:eastAsia="Calibri" w:hAnsi="Consolas" w:cs="Times New Roman"/>
      <w:sz w:val="21"/>
      <w:szCs w:val="21"/>
    </w:rPr>
  </w:style>
  <w:style w:type="character" w:customStyle="1" w:styleId="2Char">
    <w:name w:val="Επικεφαλίδα 2 Char"/>
    <w:basedOn w:val="a0"/>
    <w:link w:val="2"/>
    <w:rsid w:val="00E06593"/>
    <w:rPr>
      <w:rFonts w:ascii="Cambria" w:eastAsia="Calibri" w:hAnsi="Cambria" w:cs="Times New Roman"/>
      <w:b/>
      <w:bCs/>
      <w:color w:val="4F81BD"/>
      <w:sz w:val="26"/>
      <w:szCs w:val="26"/>
    </w:rPr>
  </w:style>
  <w:style w:type="table" w:styleId="af">
    <w:name w:val="Table Grid"/>
    <w:basedOn w:val="a1"/>
    <w:uiPriority w:val="59"/>
    <w:rsid w:val="00E06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CF1E5D"/>
    <w:pPr>
      <w:spacing w:after="0" w:line="240" w:lineRule="auto"/>
    </w:pPr>
    <w:rPr>
      <w:rFonts w:ascii=".SF UI Display" w:hAnsi=".SF UI Display" w:cs="Times New Roman"/>
      <w:color w:val="454545"/>
      <w:sz w:val="35"/>
      <w:szCs w:val="35"/>
      <w:lang w:eastAsia="el-GR"/>
    </w:rPr>
  </w:style>
  <w:style w:type="paragraph" w:customStyle="1" w:styleId="p2">
    <w:name w:val="p2"/>
    <w:basedOn w:val="a"/>
    <w:rsid w:val="00CF1E5D"/>
    <w:pPr>
      <w:spacing w:after="0" w:line="240" w:lineRule="auto"/>
    </w:pPr>
    <w:rPr>
      <w:rFonts w:ascii=".SF UI Display" w:hAnsi=".SF UI Display" w:cs="Times New Roman"/>
      <w:color w:val="454545"/>
      <w:sz w:val="35"/>
      <w:szCs w:val="35"/>
      <w:lang w:eastAsia="el-GR"/>
    </w:rPr>
  </w:style>
  <w:style w:type="character" w:customStyle="1" w:styleId="s1">
    <w:name w:val="s1"/>
    <w:basedOn w:val="a0"/>
    <w:rsid w:val="00CF1E5D"/>
    <w:rPr>
      <w:rFonts w:ascii=".SFUIDisplay-Regular" w:hAnsi=".SFUIDisplay-Regular" w:hint="default"/>
      <w:b w:val="0"/>
      <w:bCs w:val="0"/>
      <w:i w:val="0"/>
      <w:iCs w:val="0"/>
      <w:sz w:val="46"/>
      <w:szCs w:val="46"/>
    </w:rPr>
  </w:style>
  <w:style w:type="character" w:customStyle="1" w:styleId="apple-converted-space">
    <w:name w:val="apple-converted-space"/>
    <w:basedOn w:val="a0"/>
    <w:rsid w:val="00CF1E5D"/>
  </w:style>
</w:styles>
</file>

<file path=word/webSettings.xml><?xml version="1.0" encoding="utf-8"?>
<w:webSettings xmlns:r="http://schemas.openxmlformats.org/officeDocument/2006/relationships" xmlns:w="http://schemas.openxmlformats.org/wordprocessingml/2006/main">
  <w:divs>
    <w:div w:id="9918154">
      <w:bodyDiv w:val="1"/>
      <w:marLeft w:val="0"/>
      <w:marRight w:val="0"/>
      <w:marTop w:val="0"/>
      <w:marBottom w:val="0"/>
      <w:divBdr>
        <w:top w:val="none" w:sz="0" w:space="0" w:color="auto"/>
        <w:left w:val="none" w:sz="0" w:space="0" w:color="auto"/>
        <w:bottom w:val="none" w:sz="0" w:space="0" w:color="auto"/>
        <w:right w:val="none" w:sz="0" w:space="0" w:color="auto"/>
      </w:divBdr>
    </w:div>
    <w:div w:id="35088739">
      <w:bodyDiv w:val="1"/>
      <w:marLeft w:val="0"/>
      <w:marRight w:val="0"/>
      <w:marTop w:val="0"/>
      <w:marBottom w:val="0"/>
      <w:divBdr>
        <w:top w:val="none" w:sz="0" w:space="0" w:color="auto"/>
        <w:left w:val="none" w:sz="0" w:space="0" w:color="auto"/>
        <w:bottom w:val="none" w:sz="0" w:space="0" w:color="auto"/>
        <w:right w:val="none" w:sz="0" w:space="0" w:color="auto"/>
      </w:divBdr>
    </w:div>
    <w:div w:id="59522679">
      <w:bodyDiv w:val="1"/>
      <w:marLeft w:val="0"/>
      <w:marRight w:val="0"/>
      <w:marTop w:val="0"/>
      <w:marBottom w:val="0"/>
      <w:divBdr>
        <w:top w:val="none" w:sz="0" w:space="0" w:color="auto"/>
        <w:left w:val="none" w:sz="0" w:space="0" w:color="auto"/>
        <w:bottom w:val="none" w:sz="0" w:space="0" w:color="auto"/>
        <w:right w:val="none" w:sz="0" w:space="0" w:color="auto"/>
      </w:divBdr>
    </w:div>
    <w:div w:id="163205231">
      <w:bodyDiv w:val="1"/>
      <w:marLeft w:val="0"/>
      <w:marRight w:val="0"/>
      <w:marTop w:val="0"/>
      <w:marBottom w:val="0"/>
      <w:divBdr>
        <w:top w:val="none" w:sz="0" w:space="0" w:color="auto"/>
        <w:left w:val="none" w:sz="0" w:space="0" w:color="auto"/>
        <w:bottom w:val="none" w:sz="0" w:space="0" w:color="auto"/>
        <w:right w:val="none" w:sz="0" w:space="0" w:color="auto"/>
      </w:divBdr>
    </w:div>
    <w:div w:id="370039344">
      <w:bodyDiv w:val="1"/>
      <w:marLeft w:val="0"/>
      <w:marRight w:val="0"/>
      <w:marTop w:val="0"/>
      <w:marBottom w:val="0"/>
      <w:divBdr>
        <w:top w:val="none" w:sz="0" w:space="0" w:color="auto"/>
        <w:left w:val="none" w:sz="0" w:space="0" w:color="auto"/>
        <w:bottom w:val="none" w:sz="0" w:space="0" w:color="auto"/>
        <w:right w:val="none" w:sz="0" w:space="0" w:color="auto"/>
      </w:divBdr>
    </w:div>
    <w:div w:id="466246089">
      <w:bodyDiv w:val="1"/>
      <w:marLeft w:val="0"/>
      <w:marRight w:val="0"/>
      <w:marTop w:val="0"/>
      <w:marBottom w:val="0"/>
      <w:divBdr>
        <w:top w:val="none" w:sz="0" w:space="0" w:color="auto"/>
        <w:left w:val="none" w:sz="0" w:space="0" w:color="auto"/>
        <w:bottom w:val="none" w:sz="0" w:space="0" w:color="auto"/>
        <w:right w:val="none" w:sz="0" w:space="0" w:color="auto"/>
      </w:divBdr>
    </w:div>
    <w:div w:id="466507453">
      <w:bodyDiv w:val="1"/>
      <w:marLeft w:val="0"/>
      <w:marRight w:val="0"/>
      <w:marTop w:val="0"/>
      <w:marBottom w:val="0"/>
      <w:divBdr>
        <w:top w:val="none" w:sz="0" w:space="0" w:color="auto"/>
        <w:left w:val="none" w:sz="0" w:space="0" w:color="auto"/>
        <w:bottom w:val="none" w:sz="0" w:space="0" w:color="auto"/>
        <w:right w:val="none" w:sz="0" w:space="0" w:color="auto"/>
      </w:divBdr>
    </w:div>
    <w:div w:id="515850600">
      <w:bodyDiv w:val="1"/>
      <w:marLeft w:val="0"/>
      <w:marRight w:val="0"/>
      <w:marTop w:val="0"/>
      <w:marBottom w:val="0"/>
      <w:divBdr>
        <w:top w:val="none" w:sz="0" w:space="0" w:color="auto"/>
        <w:left w:val="none" w:sz="0" w:space="0" w:color="auto"/>
        <w:bottom w:val="none" w:sz="0" w:space="0" w:color="auto"/>
        <w:right w:val="none" w:sz="0" w:space="0" w:color="auto"/>
      </w:divBdr>
    </w:div>
    <w:div w:id="515968332">
      <w:bodyDiv w:val="1"/>
      <w:marLeft w:val="0"/>
      <w:marRight w:val="0"/>
      <w:marTop w:val="0"/>
      <w:marBottom w:val="0"/>
      <w:divBdr>
        <w:top w:val="none" w:sz="0" w:space="0" w:color="auto"/>
        <w:left w:val="none" w:sz="0" w:space="0" w:color="auto"/>
        <w:bottom w:val="none" w:sz="0" w:space="0" w:color="auto"/>
        <w:right w:val="none" w:sz="0" w:space="0" w:color="auto"/>
      </w:divBdr>
    </w:div>
    <w:div w:id="571814159">
      <w:bodyDiv w:val="1"/>
      <w:marLeft w:val="0"/>
      <w:marRight w:val="0"/>
      <w:marTop w:val="0"/>
      <w:marBottom w:val="0"/>
      <w:divBdr>
        <w:top w:val="none" w:sz="0" w:space="0" w:color="auto"/>
        <w:left w:val="none" w:sz="0" w:space="0" w:color="auto"/>
        <w:bottom w:val="none" w:sz="0" w:space="0" w:color="auto"/>
        <w:right w:val="none" w:sz="0" w:space="0" w:color="auto"/>
      </w:divBdr>
    </w:div>
    <w:div w:id="655651935">
      <w:bodyDiv w:val="1"/>
      <w:marLeft w:val="0"/>
      <w:marRight w:val="0"/>
      <w:marTop w:val="0"/>
      <w:marBottom w:val="0"/>
      <w:divBdr>
        <w:top w:val="none" w:sz="0" w:space="0" w:color="auto"/>
        <w:left w:val="none" w:sz="0" w:space="0" w:color="auto"/>
        <w:bottom w:val="none" w:sz="0" w:space="0" w:color="auto"/>
        <w:right w:val="none" w:sz="0" w:space="0" w:color="auto"/>
      </w:divBdr>
    </w:div>
    <w:div w:id="680088235">
      <w:bodyDiv w:val="1"/>
      <w:marLeft w:val="0"/>
      <w:marRight w:val="0"/>
      <w:marTop w:val="0"/>
      <w:marBottom w:val="0"/>
      <w:divBdr>
        <w:top w:val="none" w:sz="0" w:space="0" w:color="auto"/>
        <w:left w:val="none" w:sz="0" w:space="0" w:color="auto"/>
        <w:bottom w:val="none" w:sz="0" w:space="0" w:color="auto"/>
        <w:right w:val="none" w:sz="0" w:space="0" w:color="auto"/>
      </w:divBdr>
    </w:div>
    <w:div w:id="765418237">
      <w:bodyDiv w:val="1"/>
      <w:marLeft w:val="0"/>
      <w:marRight w:val="0"/>
      <w:marTop w:val="0"/>
      <w:marBottom w:val="0"/>
      <w:divBdr>
        <w:top w:val="none" w:sz="0" w:space="0" w:color="auto"/>
        <w:left w:val="none" w:sz="0" w:space="0" w:color="auto"/>
        <w:bottom w:val="none" w:sz="0" w:space="0" w:color="auto"/>
        <w:right w:val="none" w:sz="0" w:space="0" w:color="auto"/>
      </w:divBdr>
    </w:div>
    <w:div w:id="862859971">
      <w:bodyDiv w:val="1"/>
      <w:marLeft w:val="0"/>
      <w:marRight w:val="0"/>
      <w:marTop w:val="0"/>
      <w:marBottom w:val="0"/>
      <w:divBdr>
        <w:top w:val="none" w:sz="0" w:space="0" w:color="auto"/>
        <w:left w:val="none" w:sz="0" w:space="0" w:color="auto"/>
        <w:bottom w:val="none" w:sz="0" w:space="0" w:color="auto"/>
        <w:right w:val="none" w:sz="0" w:space="0" w:color="auto"/>
      </w:divBdr>
    </w:div>
    <w:div w:id="931744028">
      <w:bodyDiv w:val="1"/>
      <w:marLeft w:val="0"/>
      <w:marRight w:val="0"/>
      <w:marTop w:val="0"/>
      <w:marBottom w:val="0"/>
      <w:divBdr>
        <w:top w:val="none" w:sz="0" w:space="0" w:color="auto"/>
        <w:left w:val="none" w:sz="0" w:space="0" w:color="auto"/>
        <w:bottom w:val="none" w:sz="0" w:space="0" w:color="auto"/>
        <w:right w:val="none" w:sz="0" w:space="0" w:color="auto"/>
      </w:divBdr>
    </w:div>
    <w:div w:id="1040669041">
      <w:bodyDiv w:val="1"/>
      <w:marLeft w:val="0"/>
      <w:marRight w:val="0"/>
      <w:marTop w:val="0"/>
      <w:marBottom w:val="0"/>
      <w:divBdr>
        <w:top w:val="none" w:sz="0" w:space="0" w:color="auto"/>
        <w:left w:val="none" w:sz="0" w:space="0" w:color="auto"/>
        <w:bottom w:val="none" w:sz="0" w:space="0" w:color="auto"/>
        <w:right w:val="none" w:sz="0" w:space="0" w:color="auto"/>
      </w:divBdr>
    </w:div>
    <w:div w:id="1168909595">
      <w:bodyDiv w:val="1"/>
      <w:marLeft w:val="0"/>
      <w:marRight w:val="0"/>
      <w:marTop w:val="0"/>
      <w:marBottom w:val="0"/>
      <w:divBdr>
        <w:top w:val="none" w:sz="0" w:space="0" w:color="auto"/>
        <w:left w:val="none" w:sz="0" w:space="0" w:color="auto"/>
        <w:bottom w:val="none" w:sz="0" w:space="0" w:color="auto"/>
        <w:right w:val="none" w:sz="0" w:space="0" w:color="auto"/>
      </w:divBdr>
    </w:div>
    <w:div w:id="1253781488">
      <w:bodyDiv w:val="1"/>
      <w:marLeft w:val="0"/>
      <w:marRight w:val="0"/>
      <w:marTop w:val="0"/>
      <w:marBottom w:val="0"/>
      <w:divBdr>
        <w:top w:val="none" w:sz="0" w:space="0" w:color="auto"/>
        <w:left w:val="none" w:sz="0" w:space="0" w:color="auto"/>
        <w:bottom w:val="none" w:sz="0" w:space="0" w:color="auto"/>
        <w:right w:val="none" w:sz="0" w:space="0" w:color="auto"/>
      </w:divBdr>
    </w:div>
    <w:div w:id="1331064662">
      <w:bodyDiv w:val="1"/>
      <w:marLeft w:val="0"/>
      <w:marRight w:val="0"/>
      <w:marTop w:val="0"/>
      <w:marBottom w:val="0"/>
      <w:divBdr>
        <w:top w:val="none" w:sz="0" w:space="0" w:color="auto"/>
        <w:left w:val="none" w:sz="0" w:space="0" w:color="auto"/>
        <w:bottom w:val="none" w:sz="0" w:space="0" w:color="auto"/>
        <w:right w:val="none" w:sz="0" w:space="0" w:color="auto"/>
      </w:divBdr>
    </w:div>
    <w:div w:id="1339044692">
      <w:bodyDiv w:val="1"/>
      <w:marLeft w:val="0"/>
      <w:marRight w:val="0"/>
      <w:marTop w:val="0"/>
      <w:marBottom w:val="0"/>
      <w:divBdr>
        <w:top w:val="none" w:sz="0" w:space="0" w:color="auto"/>
        <w:left w:val="none" w:sz="0" w:space="0" w:color="auto"/>
        <w:bottom w:val="none" w:sz="0" w:space="0" w:color="auto"/>
        <w:right w:val="none" w:sz="0" w:space="0" w:color="auto"/>
      </w:divBdr>
    </w:div>
    <w:div w:id="1377194547">
      <w:bodyDiv w:val="1"/>
      <w:marLeft w:val="0"/>
      <w:marRight w:val="0"/>
      <w:marTop w:val="0"/>
      <w:marBottom w:val="0"/>
      <w:divBdr>
        <w:top w:val="none" w:sz="0" w:space="0" w:color="auto"/>
        <w:left w:val="none" w:sz="0" w:space="0" w:color="auto"/>
        <w:bottom w:val="none" w:sz="0" w:space="0" w:color="auto"/>
        <w:right w:val="none" w:sz="0" w:space="0" w:color="auto"/>
      </w:divBdr>
    </w:div>
    <w:div w:id="1468282152">
      <w:bodyDiv w:val="1"/>
      <w:marLeft w:val="0"/>
      <w:marRight w:val="0"/>
      <w:marTop w:val="0"/>
      <w:marBottom w:val="0"/>
      <w:divBdr>
        <w:top w:val="none" w:sz="0" w:space="0" w:color="auto"/>
        <w:left w:val="none" w:sz="0" w:space="0" w:color="auto"/>
        <w:bottom w:val="none" w:sz="0" w:space="0" w:color="auto"/>
        <w:right w:val="none" w:sz="0" w:space="0" w:color="auto"/>
      </w:divBdr>
    </w:div>
    <w:div w:id="1510174561">
      <w:bodyDiv w:val="1"/>
      <w:marLeft w:val="0"/>
      <w:marRight w:val="0"/>
      <w:marTop w:val="0"/>
      <w:marBottom w:val="0"/>
      <w:divBdr>
        <w:top w:val="none" w:sz="0" w:space="0" w:color="auto"/>
        <w:left w:val="none" w:sz="0" w:space="0" w:color="auto"/>
        <w:bottom w:val="none" w:sz="0" w:space="0" w:color="auto"/>
        <w:right w:val="none" w:sz="0" w:space="0" w:color="auto"/>
      </w:divBdr>
    </w:div>
    <w:div w:id="1667324376">
      <w:bodyDiv w:val="1"/>
      <w:marLeft w:val="0"/>
      <w:marRight w:val="0"/>
      <w:marTop w:val="0"/>
      <w:marBottom w:val="0"/>
      <w:divBdr>
        <w:top w:val="none" w:sz="0" w:space="0" w:color="auto"/>
        <w:left w:val="none" w:sz="0" w:space="0" w:color="auto"/>
        <w:bottom w:val="none" w:sz="0" w:space="0" w:color="auto"/>
        <w:right w:val="none" w:sz="0" w:space="0" w:color="auto"/>
      </w:divBdr>
    </w:div>
    <w:div w:id="213047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7;&#960;&#953;&#967;&#949;&#953;&#961;&#942;&#963;&#949;&#953;&#962;\DATA%20ENTRY_&#917;&#929;&#917;&#933;&#925;&#913;%20&#920;&#917;&#929;&#921;&#925;&#937;&#925;%20&#917;&#922;&#928;&#932;&#937;&#931;&#917;&#937;&#925;%20_&#917;&#929;&#937;&#932;&#919;&#931;&#917;&#921;&#931;%20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3;&#922;&#917;\&#913;&#922;&#917;_DATA%20ENTRY_&#917;&#929;&#917;&#933;&#925;&#913;%20&#920;&#917;&#929;&#921;&#925;&#937;&#925;%20&#917;&#922;&#928;&#932;&#937;&#931;&#917;&#937;&#925;%20_&#917;&#929;&#937;&#932;&#919;&#931;&#917;&#921;&#931;%201-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3;&#922;&#917;\&#931;&#965;&#957;&#959;&#955;&#953;&#954;&#972;\&#913;&#922;&#917;_DATA%20ENTRY_&#917;&#929;&#917;&#933;&#925;&#913;%20&#920;&#917;&#929;&#921;&#925;&#937;&#925;%20&#917;&#922;&#928;&#932;&#937;&#931;&#917;&#937;&#925;%20_&#917;&#929;&#937;&#932;&#919;&#931;&#917;&#921;&#931;%201-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3;&#922;&#917;\&#931;&#965;&#957;&#959;&#955;&#953;&#954;&#972;\&#913;&#922;&#917;_DATA%20ENTRY_&#917;&#929;&#917;&#933;&#925;&#913;%20&#920;&#917;&#929;&#921;&#925;&#937;&#925;%20&#917;&#922;&#928;&#932;&#937;&#931;&#917;&#937;&#925;%20_&#917;&#929;&#937;&#932;&#919;&#931;&#917;&#921;&#931;%201-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3;&#922;&#917;\&#913;&#922;&#917;_DATA%20ENTRY_&#917;&#929;&#917;&#933;&#925;&#913;%20&#920;&#917;&#929;&#921;&#925;&#937;&#925;%20&#917;&#922;&#928;&#932;&#937;&#931;&#917;&#937;&#925;%20_&#917;&#929;&#937;&#932;&#919;&#931;&#917;&#921;&#931;%208-1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3;&#922;&#917;\&#913;&#922;&#917;_DATA%20ENTRY_&#917;&#929;&#917;&#933;&#925;&#913;%20&#920;&#917;&#929;&#921;&#925;&#937;&#925;%20&#917;&#922;&#928;&#932;&#937;&#931;&#917;&#937;&#925;%20_&#917;&#929;&#937;&#932;&#919;&#931;&#917;&#921;&#931;%208-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7;&#960;&#953;&#967;&#949;&#953;&#961;&#942;&#963;&#949;&#953;&#962;\DATA%20ENTRY_&#917;&#929;&#917;&#933;&#925;&#913;%20&#920;&#917;&#929;&#921;&#925;&#937;&#925;%20&#917;&#922;&#928;&#932;&#937;&#931;&#917;&#937;&#925;%20_&#917;&#929;&#937;&#932;&#919;&#931;&#917;&#921;&#931;%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7;&#960;&#953;&#967;&#949;&#953;&#961;&#942;&#963;&#949;&#953;&#962;\DATA%20ENTRY_&#917;&#929;&#917;&#933;&#925;&#913;%20&#920;&#917;&#929;&#921;&#925;&#937;&#925;%20&#917;&#922;&#928;&#932;&#937;&#931;&#917;&#937;&#925;%20_&#917;&#929;&#937;&#932;&#919;&#931;&#917;&#921;&#931;%20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7;&#960;&#953;&#967;&#949;&#953;&#961;&#942;&#963;&#949;&#953;&#962;\DATA%20ENTRY_&#917;&#929;&#917;&#933;&#925;&#913;%20&#920;&#917;&#929;&#921;&#925;&#937;&#925;%20&#917;&#922;&#928;&#932;&#937;&#931;&#917;&#937;&#925;%20_&#917;&#929;&#937;&#932;&#919;&#931;&#917;&#921;&#931;%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7;&#960;&#953;&#967;&#949;&#953;&#961;&#942;&#963;&#949;&#953;&#962;\DATA%20ENTRY_&#917;&#929;&#917;&#933;&#925;&#913;%20&#920;&#917;&#929;&#921;&#925;&#937;&#925;%20&#917;&#922;&#928;&#932;&#937;&#931;&#917;&#937;&#925;%20_&#917;&#929;&#937;&#932;&#919;&#931;&#917;&#921;&#931;%208-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7;&#960;&#953;&#967;&#949;&#953;&#961;&#942;&#963;&#949;&#953;&#962;\DATA%20ENTRY_&#917;&#929;&#917;&#933;&#925;&#913;%20&#920;&#917;&#929;&#921;&#925;&#937;&#925;%20&#917;&#922;&#928;&#932;&#937;&#931;&#917;&#937;&#925;%20_&#917;&#929;&#937;&#932;&#919;&#931;&#917;&#921;&#931;%208-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ikgeo\Desktop\&#928;&#961;&#972;&#967;&#949;&#953;&#961;&#959;%20&#952;&#949;&#961;&#953;&#957;&#941;&#962;%20&#917;&#954;&#960;&#964;&#974;&#963;&#949;&#953;&#962;%202016\&#917;&#960;&#953;&#967;&#949;&#953;&#961;&#942;&#963;&#949;&#953;&#962;\&#928;&#961;&#972;&#967;&#949;&#953;&#961;&#959;_DATA%20ENTRY_&#917;&#929;&#917;&#933;&#925;&#913;%20&#920;&#917;&#929;&#921;&#925;&#937;&#925;%20&#917;&#922;&#928;&#932;&#937;&#931;&#917;&#937;&#925;%20_&#917;&#929;&#937;&#932;&#919;&#931;&#917;&#921;&#931;%208-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7;&#960;&#953;&#967;&#949;&#953;&#961;&#942;&#963;&#949;&#953;&#962;\DATA%20ENTRY_&#917;&#929;&#917;&#933;&#925;&#913;%20&#920;&#917;&#929;&#921;&#925;&#937;&#925;%20&#917;&#922;&#928;&#932;&#937;&#931;&#917;&#937;&#925;%20_&#917;&#929;&#937;&#932;&#919;&#931;&#917;&#921;&#931;%208-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able\d\departments\ine.db\&#924;&#917;&#923;&#917;&#932;&#917;&#931;_&#917;&#929;&#917;&#933;&#925;&#917;&#931;\&#917;&#928;&#927;&#935;&#921;&#922;&#917;&#931;%20&#917;&#929;&#917;&#933;&#925;&#917;&#931;_2\&#917;&#922;&#928;&#932;&#937;&#931;&#917;&#921;&#931;\&#920;&#917;&#929;&#921;&#925;&#917;&#931;\&#920;&#917;&#929;&#921;&#925;&#917;&#931;%202016\DATA%20ANALYSIS%20-%20&#917;&#929;&#937;&#932;&#919;&#924;&#913;&#932;&#927;&#923;&#927;&#915;&#921;&#913;\2016\&#917;&#960;&#953;&#967;&#949;&#953;&#961;&#942;&#963;&#949;&#953;&#962;\DATA%20ENTRY_&#917;&#929;&#917;&#933;&#925;&#913;%20&#920;&#917;&#929;&#921;&#925;&#937;&#925;%20&#917;&#922;&#928;&#932;&#937;&#931;&#917;&#937;&#925;%20_&#917;&#929;&#937;&#932;&#919;&#931;&#917;&#921;&#931;%208-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Διάγραμμα 1: </a:t>
            </a:r>
            <a:r>
              <a:rPr lang="el-GR" sz="1100"/>
              <a:t>Ποσοστό</a:t>
            </a:r>
            <a:r>
              <a:rPr lang="el-GR" sz="1100" baseline="0"/>
              <a:t> έκπτωσης στην επιχείρηση κατά τη διάρκεια των θερινών εκπτώσεων</a:t>
            </a:r>
            <a:endParaRPr lang="el-GR" sz="1100"/>
          </a:p>
        </c:rich>
      </c:tx>
      <c:layout>
        <c:manualLayout>
          <c:xMode val="edge"/>
          <c:yMode val="edge"/>
          <c:x val="0.11956120581287105"/>
          <c:y val="4.0123573070112682E-2"/>
        </c:manualLayout>
      </c:layout>
      <c:spPr>
        <a:noFill/>
        <a:ln w="25400">
          <a:noFill/>
        </a:ln>
      </c:spPr>
    </c:title>
    <c:view3D>
      <c:perspective val="0"/>
    </c:view3D>
    <c:plotArea>
      <c:layout>
        <c:manualLayout>
          <c:layoutTarget val="inner"/>
          <c:xMode val="edge"/>
          <c:yMode val="edge"/>
          <c:x val="0.15909090909091106"/>
          <c:y val="0.38889006103534796"/>
          <c:w val="0.50524475524475521"/>
          <c:h val="0.35493934142114375"/>
        </c:manualLayout>
      </c:layout>
      <c:pie3DChart>
        <c:varyColors val="1"/>
        <c:ser>
          <c:idx val="0"/>
          <c:order val="0"/>
          <c:spPr>
            <a:solidFill>
              <a:srgbClr val="9999FF"/>
            </a:solidFill>
            <a:ln w="12700">
              <a:solidFill>
                <a:srgbClr val="000000"/>
              </a:solidFill>
              <a:prstDash val="solid"/>
            </a:ln>
          </c:spPr>
          <c:explosion val="25"/>
          <c:dPt>
            <c:idx val="0"/>
            <c:spPr>
              <a:solidFill>
                <a:srgbClr val="3366FF"/>
              </a:solidFill>
              <a:ln w="12700">
                <a:solidFill>
                  <a:srgbClr val="000000"/>
                </a:solidFill>
                <a:prstDash val="solid"/>
              </a:ln>
            </c:spPr>
          </c:dPt>
          <c:dPt>
            <c:idx val="1"/>
            <c:spPr>
              <a:solidFill>
                <a:srgbClr val="00FFFF"/>
              </a:solidFill>
              <a:ln w="12700">
                <a:solidFill>
                  <a:srgbClr val="000000"/>
                </a:solidFill>
                <a:prstDash val="solid"/>
              </a:ln>
            </c:spPr>
          </c:dPt>
          <c:dPt>
            <c:idx val="2"/>
            <c:spPr>
              <a:solidFill>
                <a:srgbClr val="FF6600"/>
              </a:solidFill>
              <a:ln w="12700">
                <a:solidFill>
                  <a:srgbClr val="000000"/>
                </a:solidFill>
                <a:prstDash val="solid"/>
              </a:ln>
            </c:spPr>
          </c:dPt>
          <c:dPt>
            <c:idx val="3"/>
            <c:spPr>
              <a:solidFill>
                <a:srgbClr val="FFFF00"/>
              </a:solidFill>
              <a:ln w="12700">
                <a:solidFill>
                  <a:srgbClr val="000000"/>
                </a:solidFill>
                <a:prstDash val="solid"/>
              </a:ln>
            </c:spPr>
          </c:dPt>
          <c:dPt>
            <c:idx val="4"/>
            <c:spPr>
              <a:solidFill>
                <a:srgbClr val="660066"/>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extLst>
              <c:ext xmlns:c15="http://schemas.microsoft.com/office/drawing/2012/chart" uri="{CE6537A1-D6FC-4f65-9D91-7224C49458BB}"/>
            </c:extLst>
          </c:dLbls>
          <c:cat>
            <c:strRef>
              <c:f>'Χειμερινές εκπτώσεις'!$A$3:$A$7</c:f>
              <c:strCache>
                <c:ptCount val="5"/>
                <c:pt idx="0">
                  <c:v>0-10%</c:v>
                </c:pt>
                <c:pt idx="1">
                  <c:v>11%-20%</c:v>
                </c:pt>
                <c:pt idx="2">
                  <c:v>21-40%</c:v>
                </c:pt>
                <c:pt idx="3">
                  <c:v>41%-50%</c:v>
                </c:pt>
                <c:pt idx="4">
                  <c:v>50% και άνω </c:v>
                </c:pt>
              </c:strCache>
            </c:strRef>
          </c:cat>
          <c:val>
            <c:numRef>
              <c:f>'Χειμερινές εκπτώσεις'!$C$3:$C$7</c:f>
              <c:numCache>
                <c:formatCode>0.0%</c:formatCode>
                <c:ptCount val="5"/>
                <c:pt idx="0">
                  <c:v>1.9867549668874246E-2</c:v>
                </c:pt>
                <c:pt idx="1">
                  <c:v>0.17218543046357621</c:v>
                </c:pt>
                <c:pt idx="2">
                  <c:v>0.59602649006622432</c:v>
                </c:pt>
                <c:pt idx="3">
                  <c:v>0.13245033112582846</c:v>
                </c:pt>
                <c:pt idx="4">
                  <c:v>7.9470198675496734E-2</c:v>
                </c:pt>
              </c:numCache>
            </c:numRef>
          </c:val>
        </c:ser>
        <c:dLbls>
          <c:showPercent val="1"/>
        </c:dLbls>
      </c:pie3DChart>
      <c:spPr>
        <a:noFill/>
        <a:ln w="25400">
          <a:noFill/>
        </a:ln>
      </c:spPr>
    </c:plotArea>
    <c:legend>
      <c:legendPos val="r"/>
      <c:layout>
        <c:manualLayout>
          <c:xMode val="edge"/>
          <c:yMode val="edge"/>
          <c:x val="0.75874125874125875"/>
          <c:y val="0.27160591037231457"/>
          <c:w val="0.18006993006993302"/>
          <c:h val="0.45061858008490102"/>
        </c:manualLayout>
      </c:layout>
      <c:spPr>
        <a:solidFill>
          <a:srgbClr val="FFFFFF"/>
        </a:solidFill>
        <a:ln w="3175">
          <a:solidFill>
            <a:srgbClr val="000000"/>
          </a:solidFill>
          <a:prstDash val="solid"/>
        </a:ln>
      </c:spPr>
      <c:txPr>
        <a:bodyPr/>
        <a:lstStyle/>
        <a:p>
          <a:pPr>
            <a:defRPr lang="el-GR" sz="920" b="1" i="0" u="none" strike="noStrike" baseline="0">
              <a:solidFill>
                <a:srgbClr val="000000"/>
              </a:solidFill>
              <a:latin typeface="Arial"/>
              <a:ea typeface="Arial"/>
              <a:cs typeface="Arial"/>
            </a:defRPr>
          </a:pPr>
          <a:endParaRPr lang="el-GR"/>
        </a:p>
      </c:txPr>
    </c:legend>
    <c:plotVisOnly val="1"/>
    <c:dispBlanksAs val="zero"/>
  </c:chart>
  <c:spPr>
    <a:solidFill>
      <a:srgbClr val="C0C0C0"/>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l-G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sz="1200" b="1" i="0" u="none" strike="noStrike" baseline="0"/>
              <a:t>Διάγραμμα 10: </a:t>
            </a:r>
            <a:r>
              <a:rPr lang="el-GR" sz="1100"/>
              <a:t>Οι πωλήσεις στις θερινές εκπτώσεις του 2016 συγκριτικά με το 201</a:t>
            </a:r>
            <a:r>
              <a:rPr lang="en-US" sz="1100"/>
              <a:t>5</a:t>
            </a:r>
            <a:endParaRPr lang="el-GR" sz="1100"/>
          </a:p>
        </c:rich>
      </c:tx>
      <c:layout>
        <c:manualLayout>
          <c:xMode val="edge"/>
          <c:yMode val="edge"/>
          <c:x val="9.5514453310785868E-2"/>
          <c:y val="3.0221175624075631E-2"/>
        </c:manualLayout>
      </c:layout>
      <c:spPr>
        <a:noFill/>
        <a:ln w="25400">
          <a:noFill/>
        </a:ln>
      </c:spPr>
    </c:title>
    <c:view3D>
      <c:perspective val="0"/>
    </c:view3D>
    <c:plotArea>
      <c:layout>
        <c:manualLayout>
          <c:layoutTarget val="inner"/>
          <c:xMode val="edge"/>
          <c:yMode val="edge"/>
          <c:x val="0.1174496644295302"/>
          <c:y val="0.27725941047085056"/>
          <c:w val="0.62080536912751683"/>
          <c:h val="0.45794531841814629"/>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0000FF"/>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extLst>
              <c:ext xmlns:c15="http://schemas.microsoft.com/office/drawing/2012/chart" uri="{CE6537A1-D6FC-4f65-9D91-7224C49458BB}"/>
            </c:extLst>
          </c:dLbls>
          <c:cat>
            <c:strRef>
              <c:f>'Χειμερινές εκπτώσεις'!$A$18:$A$20</c:f>
              <c:strCache>
                <c:ptCount val="3"/>
                <c:pt idx="0">
                  <c:v>Καλύτερα από το 2015</c:v>
                </c:pt>
                <c:pt idx="1">
                  <c:v>Χειρότερα από το 2015</c:v>
                </c:pt>
                <c:pt idx="2">
                  <c:v>Στα ίδια επίπεδα</c:v>
                </c:pt>
              </c:strCache>
            </c:strRef>
          </c:cat>
          <c:val>
            <c:numRef>
              <c:f>'Χειμερινές εκπτώσεις'!$D$18:$D$20</c:f>
              <c:numCache>
                <c:formatCode>0.0%</c:formatCode>
                <c:ptCount val="3"/>
                <c:pt idx="0">
                  <c:v>0.2</c:v>
                </c:pt>
                <c:pt idx="1">
                  <c:v>0.4</c:v>
                </c:pt>
                <c:pt idx="2">
                  <c:v>0.4</c:v>
                </c:pt>
              </c:numCache>
            </c:numRef>
          </c:val>
        </c:ser>
        <c:dLbls>
          <c:showPercent val="1"/>
        </c:dLbls>
      </c:pie3DChart>
      <c:spPr>
        <a:noFill/>
        <a:ln w="25400">
          <a:noFill/>
        </a:ln>
      </c:spPr>
    </c:plotArea>
    <c:legend>
      <c:legendPos val="r"/>
      <c:layout>
        <c:manualLayout>
          <c:xMode val="edge"/>
          <c:yMode val="edge"/>
          <c:x val="0.72986577181208068"/>
          <c:y val="0.46562497444828782"/>
          <c:w val="0.25671140939597281"/>
          <c:h val="0.20000000000000023"/>
        </c:manualLayout>
      </c:layout>
      <c:spPr>
        <a:solidFill>
          <a:srgbClr val="FFFFFF"/>
        </a:solidFill>
        <a:ln w="3175">
          <a:solidFill>
            <a:srgbClr val="000000"/>
          </a:solidFill>
          <a:prstDash val="solid"/>
        </a:ln>
      </c:spPr>
      <c:txPr>
        <a:bodyPr/>
        <a:lstStyle/>
        <a:p>
          <a:pPr>
            <a:defRPr lang="el-GR" sz="920" b="0" i="0" u="none" strike="noStrike" baseline="0">
              <a:solidFill>
                <a:srgbClr val="000000"/>
              </a:solidFill>
              <a:latin typeface="Arial"/>
              <a:ea typeface="Arial"/>
              <a:cs typeface="Arial"/>
            </a:defRPr>
          </a:pPr>
          <a:endParaRPr lang="el-GR"/>
        </a:p>
      </c:txP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Διάγραμμα 11: </a:t>
            </a:r>
            <a:r>
              <a:rPr lang="el-GR" sz="1100"/>
              <a:t>Ποσοστό αύξησης των</a:t>
            </a:r>
            <a:r>
              <a:rPr lang="el-GR" sz="1100" baseline="0"/>
              <a:t> πωλήσεων (σύγκριση με το προηγούμενο έτος)</a:t>
            </a:r>
            <a:endParaRPr lang="el-GR" sz="1100"/>
          </a:p>
        </c:rich>
      </c:tx>
      <c:layout>
        <c:manualLayout>
          <c:xMode val="edge"/>
          <c:yMode val="edge"/>
          <c:x val="0.17444444444444734"/>
          <c:y val="3.0714069832179995E-2"/>
        </c:manualLayout>
      </c:layout>
      <c:spPr>
        <a:noFill/>
        <a:ln w="25400">
          <a:noFill/>
        </a:ln>
      </c:spPr>
    </c:title>
    <c:view3D>
      <c:perspective val="0"/>
    </c:view3D>
    <c:plotArea>
      <c:layout>
        <c:manualLayout>
          <c:layoutTarget val="inner"/>
          <c:xMode val="edge"/>
          <c:yMode val="edge"/>
          <c:x val="0.11666685655412852"/>
          <c:y val="0.38682002543543637"/>
          <c:w val="0.51166749945882073"/>
          <c:h val="0.34957068965276683"/>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6600"/>
              </a:solidFill>
              <a:ln w="12700">
                <a:solidFill>
                  <a:srgbClr val="000000"/>
                </a:solidFill>
                <a:prstDash val="solid"/>
              </a:ln>
            </c:spPr>
          </c:dPt>
          <c:dPt>
            <c:idx val="3"/>
            <c:spPr>
              <a:solidFill>
                <a:srgbClr val="FFFF00"/>
              </a:solidFill>
              <a:ln w="12700">
                <a:solidFill>
                  <a:srgbClr val="000000"/>
                </a:solidFill>
                <a:prstDash val="solid"/>
              </a:ln>
            </c:spPr>
          </c:dPt>
          <c:dPt>
            <c:idx val="4"/>
            <c:spPr>
              <a:solidFill>
                <a:srgbClr val="00FF00"/>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dLbls>
          <c:cat>
            <c:strRef>
              <c:f>'Χειμερινές εκπτώσεις'!$A$33:$A$36</c:f>
              <c:strCache>
                <c:ptCount val="4"/>
                <c:pt idx="0">
                  <c:v>0 – 10%</c:v>
                </c:pt>
                <c:pt idx="1">
                  <c:v>11% - 20% </c:v>
                </c:pt>
                <c:pt idx="2">
                  <c:v>21% - 30%</c:v>
                </c:pt>
                <c:pt idx="3">
                  <c:v>31%- 40%</c:v>
                </c:pt>
              </c:strCache>
            </c:strRef>
          </c:cat>
          <c:val>
            <c:numRef>
              <c:f>'Χειμερινές εκπτώσεις'!$D$33:$D$36</c:f>
              <c:numCache>
                <c:formatCode>0.0%</c:formatCode>
                <c:ptCount val="4"/>
                <c:pt idx="0">
                  <c:v>0.41666666666666702</c:v>
                </c:pt>
                <c:pt idx="1">
                  <c:v>0.33333333333333331</c:v>
                </c:pt>
                <c:pt idx="2">
                  <c:v>0.16666666666666666</c:v>
                </c:pt>
                <c:pt idx="3">
                  <c:v>8.3333333333333343E-2</c:v>
                </c:pt>
              </c:numCache>
            </c:numRef>
          </c:val>
        </c:ser>
        <c:dLbls>
          <c:showPercent val="1"/>
        </c:dLbls>
      </c:pie3DChart>
      <c:spPr>
        <a:noFill/>
        <a:ln w="25400">
          <a:noFill/>
        </a:ln>
      </c:spPr>
    </c:plotArea>
    <c:legend>
      <c:legendPos val="r"/>
      <c:layout>
        <c:manualLayout>
          <c:xMode val="edge"/>
          <c:yMode val="edge"/>
          <c:x val="0.73833333333333362"/>
          <c:y val="0.40974212034383956"/>
          <c:w val="0.24833333333333549"/>
          <c:h val="0.44985673352435873"/>
        </c:manualLayout>
      </c:layout>
      <c:spPr>
        <a:solidFill>
          <a:srgbClr val="FFFFFF"/>
        </a:solidFill>
        <a:ln w="3175">
          <a:solidFill>
            <a:srgbClr val="000000"/>
          </a:solidFill>
          <a:prstDash val="solid"/>
        </a:ln>
      </c:spPr>
      <c:txPr>
        <a:bodyPr/>
        <a:lstStyle/>
        <a:p>
          <a:pPr>
            <a:defRPr lang="el-GR" sz="920" b="0" i="0" u="none" strike="noStrike" baseline="0">
              <a:solidFill>
                <a:srgbClr val="000000"/>
              </a:solidFill>
              <a:latin typeface="Arial"/>
              <a:ea typeface="Arial"/>
              <a:cs typeface="Arial"/>
            </a:defRPr>
          </a:pPr>
          <a:endParaRPr lang="el-GR"/>
        </a:p>
      </c:txPr>
    </c:legend>
    <c:plotVisOnly val="1"/>
    <c:dispBlanksAs val="zero"/>
  </c:chart>
  <c:spPr>
    <a:solidFill>
      <a:srgbClr val="C0C0C0"/>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l-GR"/>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Διάγραμμα</a:t>
            </a:r>
            <a:r>
              <a:rPr lang="el-GR" baseline="0"/>
              <a:t> 12: </a:t>
            </a:r>
            <a:r>
              <a:rPr lang="el-GR" sz="1100"/>
              <a:t>Η καλύτερη περίοδος των θερινών εκπτώσεων από άποψη αγοραστικής κίνησης</a:t>
            </a:r>
          </a:p>
        </c:rich>
      </c:tx>
      <c:layout>
        <c:manualLayout>
          <c:xMode val="edge"/>
          <c:yMode val="edge"/>
          <c:x val="0.17087082530101289"/>
          <c:y val="3.4384152036123515E-2"/>
        </c:manualLayout>
      </c:layout>
      <c:spPr>
        <a:noFill/>
        <a:ln w="25400">
          <a:noFill/>
        </a:ln>
      </c:spPr>
    </c:title>
    <c:view3D>
      <c:hPercent val="3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829500872428054E-2"/>
          <c:y val="0.12189616252821819"/>
          <c:w val="0.90205510412825851"/>
          <c:h val="0.78103837471782711"/>
        </c:manualLayout>
      </c:layout>
      <c:bar3DChart>
        <c:barDir val="col"/>
        <c:grouping val="clustered"/>
        <c:varyColors val="1"/>
        <c:ser>
          <c:idx val="0"/>
          <c:order val="0"/>
          <c:spPr>
            <a:solidFill>
              <a:srgbClr val="9999FF"/>
            </a:solidFill>
            <a:ln w="12700">
              <a:solidFill>
                <a:srgbClr val="000000"/>
              </a:solidFill>
              <a:prstDash val="solid"/>
            </a:ln>
          </c:spPr>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3366FF"/>
              </a:solidFill>
              <a:ln w="12700">
                <a:solidFill>
                  <a:srgbClr val="000000"/>
                </a:solidFill>
                <a:prstDash val="solid"/>
              </a:ln>
            </c:spPr>
          </c:dPt>
          <c:dLbls>
            <c:dLbl>
              <c:idx val="0"/>
              <c:layout>
                <c:manualLayout>
                  <c:x val="4.7585058291696396E-2"/>
                  <c:y val="-5.0992425015036778E-2"/>
                </c:manualLayout>
              </c:layout>
              <c:showVal val="1"/>
            </c:dLbl>
            <c:dLbl>
              <c:idx val="1"/>
              <c:layout>
                <c:manualLayout>
                  <c:x val="5.4722817035450913E-2"/>
                  <c:y val="-5.0992425015036813E-2"/>
                </c:manualLayout>
              </c:layout>
              <c:showVal val="1"/>
            </c:dLbl>
            <c:dLbl>
              <c:idx val="2"/>
              <c:layout>
                <c:manualLayout>
                  <c:x val="4.5205805377111677E-2"/>
                  <c:y val="-3.0595455009022044E-2"/>
                </c:manualLayout>
              </c:layout>
              <c:showVal val="1"/>
            </c:dLbl>
            <c:spPr>
              <a:noFill/>
              <a:ln w="25400">
                <a:noFill/>
              </a:ln>
            </c:spPr>
            <c:txPr>
              <a:bodyPr/>
              <a:lstStyle/>
              <a:p>
                <a:pPr>
                  <a:defRPr lang="el-GR" sz="1200" b="1" i="0" u="none" strike="noStrike" baseline="0">
                    <a:solidFill>
                      <a:srgbClr val="000000"/>
                    </a:solidFill>
                    <a:latin typeface="Arial"/>
                    <a:ea typeface="Arial"/>
                    <a:cs typeface="Arial"/>
                  </a:defRPr>
                </a:pPr>
                <a:endParaRPr lang="el-GR"/>
              </a:p>
            </c:txPr>
            <c:showVal val="1"/>
          </c:dLbls>
          <c:cat>
            <c:strRef>
              <c:f>'Χειμερινές εκπτώσεις'!$A$76:$A$78</c:f>
              <c:strCache>
                <c:ptCount val="3"/>
                <c:pt idx="0">
                  <c:v>11/7 έως 30/7</c:v>
                </c:pt>
                <c:pt idx="1">
                  <c:v>1/8 έως 13/8</c:v>
                </c:pt>
                <c:pt idx="2">
                  <c:v>16/8 έως τέλος</c:v>
                </c:pt>
              </c:strCache>
            </c:strRef>
          </c:cat>
          <c:val>
            <c:numRef>
              <c:f>'Χειμερινές εκπτώσεις'!$C$76:$C$78</c:f>
              <c:numCache>
                <c:formatCode>0.0%</c:formatCode>
                <c:ptCount val="3"/>
                <c:pt idx="0">
                  <c:v>0.8125</c:v>
                </c:pt>
                <c:pt idx="1">
                  <c:v>0.140625</c:v>
                </c:pt>
                <c:pt idx="2">
                  <c:v>4.6874999999999986E-2</c:v>
                </c:pt>
              </c:numCache>
            </c:numRef>
          </c:val>
        </c:ser>
        <c:dLbls>
          <c:showVal val="1"/>
        </c:dLbls>
        <c:gapWidth val="120"/>
        <c:gapDepth val="120"/>
        <c:shape val="box"/>
        <c:axId val="140585600"/>
        <c:axId val="140599680"/>
        <c:axId val="0"/>
      </c:bar3DChart>
      <c:catAx>
        <c:axId val="140585600"/>
        <c:scaling>
          <c:orientation val="minMax"/>
        </c:scaling>
        <c:axPos val="b"/>
        <c:majorGridlines>
          <c:spPr>
            <a:ln w="3175">
              <a:solidFill>
                <a:srgbClr val="000000"/>
              </a:solidFill>
              <a:prstDash val="solid"/>
            </a:ln>
          </c:spPr>
        </c:majorGridlines>
        <c:numFmt formatCode="General" sourceLinked="1"/>
        <c:tickLblPos val="low"/>
        <c:spPr>
          <a:ln w="3175">
            <a:solidFill>
              <a:srgbClr val="000000"/>
            </a:solidFill>
            <a:prstDash val="solid"/>
          </a:ln>
        </c:spPr>
        <c:txPr>
          <a:bodyPr rot="0" vert="horz"/>
          <a:lstStyle/>
          <a:p>
            <a:pPr>
              <a:defRPr lang="el-GR" sz="1000" b="0" i="0" u="none" strike="noStrike" baseline="0">
                <a:solidFill>
                  <a:srgbClr val="000000"/>
                </a:solidFill>
                <a:latin typeface="Arial"/>
                <a:ea typeface="Arial"/>
                <a:cs typeface="Arial"/>
              </a:defRPr>
            </a:pPr>
            <a:endParaRPr lang="el-GR"/>
          </a:p>
        </c:txPr>
        <c:crossAx val="140599680"/>
        <c:crosses val="autoZero"/>
        <c:lblAlgn val="ctr"/>
        <c:lblOffset val="100"/>
        <c:tickLblSkip val="1"/>
        <c:tickMarkSkip val="1"/>
      </c:catAx>
      <c:valAx>
        <c:axId val="140599680"/>
        <c:scaling>
          <c:orientation val="minMax"/>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l-GR" sz="1000" b="0" i="0" u="none" strike="noStrike" baseline="0">
                <a:solidFill>
                  <a:srgbClr val="000000"/>
                </a:solidFill>
                <a:latin typeface="Arial"/>
                <a:ea typeface="Arial"/>
                <a:cs typeface="Arial"/>
              </a:defRPr>
            </a:pPr>
            <a:endParaRPr lang="el-GR"/>
          </a:p>
        </c:txPr>
        <c:crossAx val="140585600"/>
        <c:crosses val="autoZero"/>
        <c:crossBetween val="between"/>
      </c:valAx>
      <c:spPr>
        <a:noFill/>
        <a:ln w="25400">
          <a:noFill/>
        </a:ln>
      </c:spPr>
    </c:plotArea>
    <c:plotVisOnly val="1"/>
    <c:dispBlanksAs val="gap"/>
  </c:chart>
  <c:spPr>
    <a:solidFill>
      <a:srgbClr val="C0C0C0"/>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l-GR"/>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sz="1200" b="1"/>
            </a:pPr>
            <a:r>
              <a:rPr lang="el-GR" sz="1200" b="1" i="0" u="none" strike="noStrike" baseline="0"/>
              <a:t>Διάγραμμα </a:t>
            </a:r>
            <a:r>
              <a:rPr lang="en-US" sz="1200" b="1" i="0" u="none" strike="noStrike" baseline="0"/>
              <a:t>1</a:t>
            </a:r>
            <a:r>
              <a:rPr lang="el-GR" sz="1200" b="1" i="0" u="none" strike="noStrike" baseline="0"/>
              <a:t>3: </a:t>
            </a:r>
            <a:r>
              <a:rPr lang="el-GR" sz="1100" b="1"/>
              <a:t>Ανοίξατ</a:t>
            </a:r>
            <a:r>
              <a:rPr lang="el-GR" sz="1100" b="1" baseline="0"/>
              <a:t>ε την Κυριακή 17 Ιουλίου</a:t>
            </a:r>
            <a:r>
              <a:rPr lang="el-GR" sz="1200" b="1" baseline="0"/>
              <a:t>;</a:t>
            </a:r>
            <a:endParaRPr lang="el-GR" sz="1200" b="1"/>
          </a:p>
        </c:rich>
      </c:tx>
    </c:title>
    <c:view3D>
      <c:perspective val="0"/>
    </c:view3D>
    <c:plotArea>
      <c:layout>
        <c:manualLayout>
          <c:layoutTarget val="inner"/>
          <c:xMode val="edge"/>
          <c:yMode val="edge"/>
          <c:x val="5.5561601311464003E-2"/>
          <c:y val="0.32126528628366163"/>
          <c:w val="0.76014474934819964"/>
          <c:h val="0.56039335694391912"/>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Lbls>
            <c:dLbl>
              <c:idx val="0"/>
              <c:layout>
                <c:manualLayout>
                  <c:x val="-0.14787122434106872"/>
                  <c:y val="-0.15248572903798691"/>
                </c:manualLayout>
              </c:layout>
              <c:showPercent val="1"/>
            </c:dLbl>
            <c:dLbl>
              <c:idx val="1"/>
              <c:layout>
                <c:manualLayout>
                  <c:x val="0.14478868674606277"/>
                  <c:y val="3.1402182964001203E-3"/>
                </c:manualLayout>
              </c:layout>
              <c:showPercent val="1"/>
            </c:dLbl>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extLst>
              <c:ext xmlns:c15="http://schemas.microsoft.com/office/drawing/2012/chart" uri="{CE6537A1-D6FC-4f65-9D91-7224C49458BB}"/>
            </c:extLst>
          </c:dLbls>
          <c:cat>
            <c:strRef>
              <c:f>ΔΙΑΓΡΑΜΜΑΤΑ!$A$96:$A$97</c:f>
              <c:strCache>
                <c:ptCount val="2"/>
                <c:pt idx="0">
                  <c:v>Ναι</c:v>
                </c:pt>
                <c:pt idx="1">
                  <c:v>Όχι</c:v>
                </c:pt>
              </c:strCache>
            </c:strRef>
          </c:cat>
          <c:val>
            <c:numRef>
              <c:f>ΔΙΑΓΡΑΜΜΑΤΑ!$C$96:$C$97</c:f>
              <c:numCache>
                <c:formatCode>0.0%</c:formatCode>
                <c:ptCount val="2"/>
                <c:pt idx="0">
                  <c:v>0.56060606060606055</c:v>
                </c:pt>
                <c:pt idx="1">
                  <c:v>0.43939393939394045</c:v>
                </c:pt>
              </c:numCache>
            </c:numRef>
          </c:val>
        </c:ser>
        <c:dLbls>
          <c:showPercent val="1"/>
        </c:dLbls>
      </c:pie3DChart>
      <c:spPr>
        <a:noFill/>
        <a:ln w="25400">
          <a:noFill/>
        </a:ln>
      </c:spPr>
    </c:plotArea>
    <c:legend>
      <c:legendPos val="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sz="1200" b="1"/>
            </a:pPr>
            <a:r>
              <a:rPr lang="el-GR" sz="1200" b="1" i="0" u="none" strike="noStrike" baseline="0"/>
              <a:t>Διάγραμμα </a:t>
            </a:r>
            <a:r>
              <a:rPr lang="en-US" sz="1200" b="1" i="0" u="none" strike="noStrike" baseline="0"/>
              <a:t>1</a:t>
            </a:r>
            <a:r>
              <a:rPr lang="el-GR" sz="1200" b="1" i="0" u="none" strike="noStrike" baseline="0"/>
              <a:t>4: </a:t>
            </a:r>
            <a:r>
              <a:rPr lang="el-GR" sz="1100" b="1"/>
              <a:t>Το άνοιγμα της</a:t>
            </a:r>
            <a:r>
              <a:rPr lang="el-GR" sz="1100" b="1" baseline="0"/>
              <a:t> Κυριακής 17 Ιουλίου συνέβαλε θετικά ή δεν επηρέασε το συνολικό τζίρο της εκπτωτικής περιόδου; </a:t>
            </a:r>
            <a:endParaRPr lang="el-GR" sz="1100" b="1"/>
          </a:p>
        </c:rich>
      </c:tx>
    </c:title>
    <c:view3D>
      <c:perspective val="0"/>
    </c:view3D>
    <c:plotArea>
      <c:layout>
        <c:manualLayout>
          <c:layoutTarget val="inner"/>
          <c:xMode val="edge"/>
          <c:yMode val="edge"/>
          <c:x val="5.5561601311464003E-2"/>
          <c:y val="0.32126528628366186"/>
          <c:w val="0.76014474934819998"/>
          <c:h val="0.56039335694391912"/>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extLst>
              <c:ext xmlns:c15="http://schemas.microsoft.com/office/drawing/2012/chart" uri="{CE6537A1-D6FC-4f65-9D91-7224C49458BB}"/>
            </c:extLst>
          </c:dLbls>
          <c:cat>
            <c:strRef>
              <c:f>ΔΙΑΓΡΑΜΜΑΤΑ!$A$116:$A$117</c:f>
              <c:strCache>
                <c:ptCount val="2"/>
                <c:pt idx="0">
                  <c:v>Συνέβαλε θετικά </c:v>
                </c:pt>
                <c:pt idx="1">
                  <c:v>Δεν επηρέασε</c:v>
                </c:pt>
              </c:strCache>
            </c:strRef>
          </c:cat>
          <c:val>
            <c:numRef>
              <c:f>ΔΙΑΓΡΑΜΜΑΤΑ!$C$116:$C$117</c:f>
              <c:numCache>
                <c:formatCode>0.0%</c:formatCode>
                <c:ptCount val="2"/>
                <c:pt idx="0">
                  <c:v>0.13513513513513556</c:v>
                </c:pt>
                <c:pt idx="1">
                  <c:v>0.86486486486486491</c:v>
                </c:pt>
              </c:numCache>
            </c:numRef>
          </c:val>
        </c:ser>
        <c:dLbls>
          <c:showPercent val="1"/>
        </c:dLbls>
      </c:pie3DChart>
      <c:spPr>
        <a:noFill/>
        <a:ln w="25400">
          <a:noFill/>
        </a:ln>
      </c:spPr>
    </c:plotArea>
    <c:legend>
      <c:legendPos val="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Διάγραμμα 2: </a:t>
            </a:r>
            <a:r>
              <a:rPr lang="el-GR" sz="1100"/>
              <a:t>Οι πωλήσεις στις θερινές εκπτώσεις του 2016 συγκριτικά με το 201</a:t>
            </a:r>
            <a:r>
              <a:rPr lang="en-US" sz="1100"/>
              <a:t>5</a:t>
            </a:r>
            <a:endParaRPr lang="el-GR" sz="1100"/>
          </a:p>
        </c:rich>
      </c:tx>
      <c:layout>
        <c:manualLayout>
          <c:xMode val="edge"/>
          <c:yMode val="edge"/>
          <c:x val="9.5514453310785868E-2"/>
          <c:y val="3.0221175624075631E-2"/>
        </c:manualLayout>
      </c:layout>
      <c:spPr>
        <a:noFill/>
        <a:ln w="25400">
          <a:noFill/>
        </a:ln>
      </c:spPr>
    </c:title>
    <c:view3D>
      <c:perspective val="0"/>
    </c:view3D>
    <c:plotArea>
      <c:layout>
        <c:manualLayout>
          <c:layoutTarget val="inner"/>
          <c:xMode val="edge"/>
          <c:yMode val="edge"/>
          <c:x val="0.1174496644295302"/>
          <c:y val="0.27725941047085056"/>
          <c:w val="0.62080536912751683"/>
          <c:h val="0.45794531841814629"/>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0000FF"/>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extLst>
              <c:ext xmlns:c15="http://schemas.microsoft.com/office/drawing/2012/chart" uri="{CE6537A1-D6FC-4f65-9D91-7224C49458BB}"/>
            </c:extLst>
          </c:dLbls>
          <c:cat>
            <c:strRef>
              <c:f>'Χειμερινές εκπτώσεις'!$A$18:$A$20</c:f>
              <c:strCache>
                <c:ptCount val="3"/>
                <c:pt idx="0">
                  <c:v>Καλύτερα από το 2015</c:v>
                </c:pt>
                <c:pt idx="1">
                  <c:v>Χειρότερα από το 2015</c:v>
                </c:pt>
                <c:pt idx="2">
                  <c:v>Στα ίδια επίπεδα</c:v>
                </c:pt>
              </c:strCache>
            </c:strRef>
          </c:cat>
          <c:val>
            <c:numRef>
              <c:f>'Χειμερινές εκπτώσεις'!$D$18:$D$20</c:f>
              <c:numCache>
                <c:formatCode>0.0%</c:formatCode>
                <c:ptCount val="3"/>
                <c:pt idx="0">
                  <c:v>0.14000000000000001</c:v>
                </c:pt>
                <c:pt idx="1">
                  <c:v>0.52666666666666651</c:v>
                </c:pt>
                <c:pt idx="2">
                  <c:v>0.33333333333333331</c:v>
                </c:pt>
              </c:numCache>
            </c:numRef>
          </c:val>
        </c:ser>
        <c:dLbls>
          <c:showPercent val="1"/>
        </c:dLbls>
      </c:pie3DChart>
      <c:spPr>
        <a:noFill/>
        <a:ln w="25400">
          <a:noFill/>
        </a:ln>
      </c:spPr>
    </c:plotArea>
    <c:legend>
      <c:legendPos val="r"/>
      <c:layout>
        <c:manualLayout>
          <c:xMode val="edge"/>
          <c:yMode val="edge"/>
          <c:x val="0.72986577181208068"/>
          <c:y val="0.46562497444828782"/>
          <c:w val="0.25671140939597281"/>
          <c:h val="0.20000000000000023"/>
        </c:manualLayout>
      </c:layout>
      <c:spPr>
        <a:solidFill>
          <a:srgbClr val="FFFFFF"/>
        </a:solidFill>
        <a:ln w="3175">
          <a:solidFill>
            <a:srgbClr val="000000"/>
          </a:solidFill>
          <a:prstDash val="solid"/>
        </a:ln>
      </c:spPr>
      <c:txPr>
        <a:bodyPr/>
        <a:lstStyle/>
        <a:p>
          <a:pPr>
            <a:defRPr lang="el-GR" sz="920" b="0" i="0" u="none" strike="noStrike" baseline="0">
              <a:solidFill>
                <a:srgbClr val="000000"/>
              </a:solidFill>
              <a:latin typeface="Arial"/>
              <a:ea typeface="Arial"/>
              <a:cs typeface="Arial"/>
            </a:defRPr>
          </a:pPr>
          <a:endParaRPr lang="el-GR"/>
        </a:p>
      </c:txP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Διάγραμμα 3: </a:t>
            </a:r>
            <a:r>
              <a:rPr lang="el-GR" sz="1100"/>
              <a:t>Ποσοστό μείωσης των</a:t>
            </a:r>
            <a:r>
              <a:rPr lang="el-GR" sz="1100" baseline="0"/>
              <a:t> πωλήσεων (σύγκριση με το προηγούμενο έτος)</a:t>
            </a:r>
            <a:endParaRPr lang="el-GR" sz="1100"/>
          </a:p>
        </c:rich>
      </c:tx>
      <c:layout>
        <c:manualLayout>
          <c:xMode val="edge"/>
          <c:yMode val="edge"/>
          <c:x val="0.19887972826926037"/>
          <c:y val="7.4242115084451638E-2"/>
        </c:manualLayout>
      </c:layout>
      <c:spPr>
        <a:noFill/>
        <a:ln w="25400">
          <a:noFill/>
        </a:ln>
      </c:spPr>
    </c:title>
    <c:view3D>
      <c:perspective val="0"/>
    </c:view3D>
    <c:plotArea>
      <c:layout>
        <c:manualLayout>
          <c:layoutTarget val="inner"/>
          <c:xMode val="edge"/>
          <c:yMode val="edge"/>
          <c:x val="0.11764715536957999"/>
          <c:y val="0.37812500000000032"/>
          <c:w val="0.5075634417373116"/>
          <c:h val="0.37500000000000372"/>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Pt>
            <c:idx val="3"/>
            <c:spPr>
              <a:solidFill>
                <a:srgbClr val="CCFFFF"/>
              </a:solidFill>
              <a:ln w="12700">
                <a:solidFill>
                  <a:srgbClr val="000000"/>
                </a:solidFill>
                <a:prstDash val="solid"/>
              </a:ln>
            </c:spPr>
          </c:dPt>
          <c:dPt>
            <c:idx val="4"/>
            <c:spPr>
              <a:solidFill>
                <a:srgbClr val="660066"/>
              </a:solidFill>
              <a:ln w="12700">
                <a:solidFill>
                  <a:srgbClr val="000000"/>
                </a:solidFill>
                <a:prstDash val="solid"/>
              </a:ln>
            </c:spPr>
          </c:dPt>
          <c:dLbls>
            <c:dLbl>
              <c:idx val="4"/>
              <c:layout>
                <c:manualLayout>
                  <c:x val="8.9525104865104024E-2"/>
                  <c:y val="-5.7633036131880741E-2"/>
                </c:manualLayout>
              </c:layout>
              <c:showPercent val="1"/>
              <c:extLst>
                <c:ext xmlns:c15="http://schemas.microsoft.com/office/drawing/2012/chart" uri="{CE6537A1-D6FC-4f65-9D91-7224C49458BB}"/>
              </c:extLst>
            </c:dLbl>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extLst>
              <c:ext xmlns:c15="http://schemas.microsoft.com/office/drawing/2012/chart" uri="{CE6537A1-D6FC-4f65-9D91-7224C49458BB}"/>
            </c:extLst>
          </c:dLbls>
          <c:cat>
            <c:strRef>
              <c:f>'Χειμερινές εκπτώσεις'!$A$50:$A$54</c:f>
              <c:strCache>
                <c:ptCount val="5"/>
                <c:pt idx="0">
                  <c:v>0 – 10%</c:v>
                </c:pt>
                <c:pt idx="1">
                  <c:v>11% - 20% </c:v>
                </c:pt>
                <c:pt idx="2">
                  <c:v>21% - 30%</c:v>
                </c:pt>
                <c:pt idx="3">
                  <c:v>31%- 40%</c:v>
                </c:pt>
                <c:pt idx="4">
                  <c:v>μεγαλύτερη από 41% </c:v>
                </c:pt>
              </c:strCache>
            </c:strRef>
          </c:cat>
          <c:val>
            <c:numRef>
              <c:f>'Χειμερινές εκπτώσεις'!$D$50:$D$54</c:f>
              <c:numCache>
                <c:formatCode>0.0%</c:formatCode>
                <c:ptCount val="5"/>
                <c:pt idx="0">
                  <c:v>0.14084507042253541</c:v>
                </c:pt>
                <c:pt idx="1">
                  <c:v>0.352112676056338</c:v>
                </c:pt>
                <c:pt idx="2">
                  <c:v>0.18309859154929659</c:v>
                </c:pt>
                <c:pt idx="3">
                  <c:v>0.11267605633802817</c:v>
                </c:pt>
                <c:pt idx="4">
                  <c:v>0.21126760563380281</c:v>
                </c:pt>
              </c:numCache>
            </c:numRef>
          </c:val>
        </c:ser>
        <c:dLbls>
          <c:showPercent val="1"/>
        </c:dLbls>
      </c:pie3DChart>
      <c:spPr>
        <a:noFill/>
        <a:ln w="25400">
          <a:noFill/>
        </a:ln>
      </c:spPr>
    </c:plotArea>
    <c:legend>
      <c:legendPos val="r"/>
      <c:layout>
        <c:manualLayout>
          <c:xMode val="edge"/>
          <c:yMode val="edge"/>
          <c:x val="0.73613498312710912"/>
          <c:y val="0.4"/>
          <c:w val="0.2504203445157589"/>
          <c:h val="0.33125000000000032"/>
        </c:manualLayout>
      </c:layout>
      <c:spPr>
        <a:solidFill>
          <a:srgbClr val="FFFFFF"/>
        </a:solidFill>
        <a:ln w="3175">
          <a:solidFill>
            <a:srgbClr val="000000"/>
          </a:solidFill>
          <a:prstDash val="solid"/>
        </a:ln>
      </c:spPr>
      <c:txPr>
        <a:bodyPr/>
        <a:lstStyle/>
        <a:p>
          <a:pPr>
            <a:defRPr lang="el-GR" sz="920" b="0" i="0" u="none" strike="noStrike" baseline="0">
              <a:solidFill>
                <a:srgbClr val="000000"/>
              </a:solidFill>
              <a:latin typeface="Arial"/>
              <a:ea typeface="Arial"/>
              <a:cs typeface="Arial"/>
            </a:defRPr>
          </a:pPr>
          <a:endParaRPr lang="el-GR"/>
        </a:p>
      </c:txPr>
    </c:legend>
    <c:plotVisOnly val="1"/>
    <c:dispBlanksAs val="zero"/>
  </c:chart>
  <c:spPr>
    <a:solidFill>
      <a:srgbClr val="969696">
        <a:alpha val="48000"/>
      </a:srgbClr>
    </a:solidFill>
    <a:ln w="3175">
      <a:solidFill>
        <a:srgbClr val="000000"/>
      </a:solidFill>
      <a:prstDash val="solid"/>
    </a:ln>
  </c:spPr>
  <c:txPr>
    <a:bodyPr/>
    <a:lstStyle/>
    <a:p>
      <a:pPr>
        <a:defRPr sz="850" b="0" i="0" u="none" strike="noStrike" baseline="0">
          <a:solidFill>
            <a:srgbClr val="000000"/>
          </a:solidFill>
          <a:latin typeface="Arial"/>
          <a:ea typeface="Arial"/>
          <a:cs typeface="Arial"/>
        </a:defRPr>
      </a:pPr>
      <a:endParaRPr lang="el-G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Διάγραμμα 4: </a:t>
            </a:r>
            <a:r>
              <a:rPr lang="el-GR" sz="1100"/>
              <a:t>Η καλύτερη περίοδος των θερινών εκπτώσεων από άποψη αγοραστικής κίνησης</a:t>
            </a:r>
          </a:p>
        </c:rich>
      </c:tx>
      <c:layout>
        <c:manualLayout>
          <c:xMode val="edge"/>
          <c:yMode val="edge"/>
          <c:x val="0.14469913337784643"/>
          <c:y val="2.1522309711286079E-2"/>
        </c:manualLayout>
      </c:layout>
      <c:spPr>
        <a:noFill/>
        <a:ln w="25400">
          <a:noFill/>
        </a:ln>
      </c:spPr>
    </c:title>
    <c:view3D>
      <c:hPercent val="3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829500872428054E-2"/>
          <c:y val="0.12189616252821839"/>
          <c:w val="0.90205510412825851"/>
          <c:h val="0.78103837471782656"/>
        </c:manualLayout>
      </c:layout>
      <c:bar3DChart>
        <c:barDir val="col"/>
        <c:grouping val="clustered"/>
        <c:varyColors val="1"/>
        <c:ser>
          <c:idx val="0"/>
          <c:order val="0"/>
          <c:spPr>
            <a:solidFill>
              <a:srgbClr val="9999FF"/>
            </a:solidFill>
            <a:ln w="12700">
              <a:solidFill>
                <a:srgbClr val="000000"/>
              </a:solidFill>
              <a:prstDash val="solid"/>
            </a:ln>
          </c:spPr>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3366FF"/>
              </a:solidFill>
              <a:ln w="12700">
                <a:solidFill>
                  <a:srgbClr val="000000"/>
                </a:solidFill>
                <a:prstDash val="solid"/>
              </a:ln>
            </c:spPr>
          </c:dPt>
          <c:dLbls>
            <c:dLbl>
              <c:idx val="0"/>
              <c:layout>
                <c:manualLayout>
                  <c:x val="3.4864898518241816E-2"/>
                  <c:y val="-4.1662055756543963E-2"/>
                </c:manualLayout>
              </c:layout>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Val val="1"/>
              <c:extLst>
                <c:ext xmlns:c15="http://schemas.microsoft.com/office/drawing/2012/chart" uri="{CE6537A1-D6FC-4f65-9D91-7224C49458BB}"/>
              </c:extLst>
            </c:dLbl>
            <c:dLbl>
              <c:idx val="1"/>
              <c:layout>
                <c:manualLayout>
                  <c:x val="4.2335948200722222E-2"/>
                  <c:y val="-3.6036036036036036E-2"/>
                </c:manualLayout>
              </c:layout>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Val val="1"/>
              <c:extLst>
                <c:ext xmlns:c15="http://schemas.microsoft.com/office/drawing/2012/chart" uri="{CE6537A1-D6FC-4f65-9D91-7224C49458BB}"/>
              </c:extLst>
            </c:dLbl>
            <c:dLbl>
              <c:idx val="2"/>
              <c:layout>
                <c:manualLayout>
                  <c:x val="3.2374548624081685E-2"/>
                  <c:y val="-4.5045045045045043E-2"/>
                </c:manualLayout>
              </c:layout>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Val val="1"/>
              <c:extLst>
                <c:ext xmlns:c15="http://schemas.microsoft.com/office/drawing/2012/chart" uri="{CE6537A1-D6FC-4f65-9D91-7224C49458BB}"/>
              </c:extLst>
            </c:dLbl>
            <c:spPr>
              <a:noFill/>
              <a:ln w="25400">
                <a:noFill/>
              </a:ln>
            </c:spPr>
            <c:txPr>
              <a:bodyPr/>
              <a:lstStyle/>
              <a:p>
                <a:pPr>
                  <a:defRPr lang="el-GR" sz="1200" b="1" i="0" u="none" strike="noStrike" baseline="0">
                    <a:solidFill>
                      <a:srgbClr val="000000"/>
                    </a:solidFill>
                    <a:latin typeface="Arial"/>
                    <a:ea typeface="Arial"/>
                    <a:cs typeface="Arial"/>
                  </a:defRPr>
                </a:pPr>
                <a:endParaRPr lang="el-GR"/>
              </a:p>
            </c:txPr>
            <c:showVal val="1"/>
            <c:extLst>
              <c:ext xmlns:c15="http://schemas.microsoft.com/office/drawing/2012/chart" uri="{CE6537A1-D6FC-4f65-9D91-7224C49458BB}">
                <c15:showLeaderLines val="0"/>
              </c:ext>
            </c:extLst>
          </c:dLbls>
          <c:cat>
            <c:strRef>
              <c:f>'Χειμερινές εκπτώσεις'!$A$77:$A$79</c:f>
              <c:strCache>
                <c:ptCount val="3"/>
                <c:pt idx="0">
                  <c:v>11/7 έως 30/7</c:v>
                </c:pt>
                <c:pt idx="1">
                  <c:v>1/8 έως 13/8</c:v>
                </c:pt>
                <c:pt idx="2">
                  <c:v>16/8 έως τέλος</c:v>
                </c:pt>
              </c:strCache>
            </c:strRef>
          </c:cat>
          <c:val>
            <c:numRef>
              <c:f>'Χειμερινές εκπτώσεις'!$C$77:$C$79</c:f>
              <c:numCache>
                <c:formatCode>0.0%</c:formatCode>
                <c:ptCount val="3"/>
                <c:pt idx="0">
                  <c:v>0.57241379310344831</c:v>
                </c:pt>
                <c:pt idx="1">
                  <c:v>0.27586206896551824</c:v>
                </c:pt>
                <c:pt idx="2">
                  <c:v>0.15172413793103495</c:v>
                </c:pt>
              </c:numCache>
            </c:numRef>
          </c:val>
        </c:ser>
        <c:dLbls>
          <c:showVal val="1"/>
        </c:dLbls>
        <c:gapWidth val="120"/>
        <c:gapDepth val="120"/>
        <c:shape val="box"/>
        <c:axId val="134441984"/>
        <c:axId val="138347264"/>
        <c:axId val="0"/>
      </c:bar3DChart>
      <c:catAx>
        <c:axId val="134441984"/>
        <c:scaling>
          <c:orientation val="minMax"/>
        </c:scaling>
        <c:axPos val="b"/>
        <c:majorGridlines>
          <c:spPr>
            <a:ln w="3175">
              <a:solidFill>
                <a:srgbClr val="000000"/>
              </a:solidFill>
              <a:prstDash val="solid"/>
            </a:ln>
          </c:spPr>
        </c:majorGridlines>
        <c:numFmt formatCode="General" sourceLinked="1"/>
        <c:tickLblPos val="low"/>
        <c:spPr>
          <a:ln w="3175">
            <a:solidFill>
              <a:srgbClr val="000000"/>
            </a:solidFill>
            <a:prstDash val="solid"/>
          </a:ln>
        </c:spPr>
        <c:txPr>
          <a:bodyPr rot="0" vert="horz"/>
          <a:lstStyle/>
          <a:p>
            <a:pPr>
              <a:defRPr lang="el-GR" sz="1000" b="0" i="0" u="none" strike="noStrike" baseline="0">
                <a:solidFill>
                  <a:srgbClr val="000000"/>
                </a:solidFill>
                <a:latin typeface="Arial"/>
                <a:ea typeface="Arial"/>
                <a:cs typeface="Arial"/>
              </a:defRPr>
            </a:pPr>
            <a:endParaRPr lang="el-GR"/>
          </a:p>
        </c:txPr>
        <c:crossAx val="138347264"/>
        <c:crosses val="autoZero"/>
        <c:lblAlgn val="ctr"/>
        <c:lblOffset val="100"/>
        <c:tickLblSkip val="1"/>
        <c:tickMarkSkip val="1"/>
      </c:catAx>
      <c:valAx>
        <c:axId val="138347264"/>
        <c:scaling>
          <c:orientation val="minMax"/>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lang="el-GR" sz="1000" b="0" i="0" u="none" strike="noStrike" baseline="0">
                <a:solidFill>
                  <a:srgbClr val="000000"/>
                </a:solidFill>
                <a:latin typeface="Arial"/>
                <a:ea typeface="Arial"/>
                <a:cs typeface="Arial"/>
              </a:defRPr>
            </a:pPr>
            <a:endParaRPr lang="el-GR"/>
          </a:p>
        </c:txPr>
        <c:crossAx val="134441984"/>
        <c:crosses val="autoZero"/>
        <c:crossBetween val="between"/>
      </c:valAx>
      <c:spPr>
        <a:noFill/>
        <a:ln w="25400">
          <a:noFill/>
        </a:ln>
      </c:spPr>
    </c:plotArea>
    <c:plotVisOnly val="1"/>
    <c:dispBlanksAs val="gap"/>
  </c:chart>
  <c:spPr>
    <a:solidFill>
      <a:srgbClr val="C0C0C0"/>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l-G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sz="1200" b="1"/>
            </a:pPr>
            <a:r>
              <a:rPr lang="el-GR" sz="1200" b="1"/>
              <a:t>Διάγραμμα 5: </a:t>
            </a:r>
            <a:r>
              <a:rPr lang="el-GR" sz="1100" b="1"/>
              <a:t>Ανοίξατ</a:t>
            </a:r>
            <a:r>
              <a:rPr lang="el-GR" sz="1100" b="1" baseline="0"/>
              <a:t>ε την Κυριακή 17 Ιουλίου</a:t>
            </a:r>
            <a:r>
              <a:rPr lang="el-GR" sz="1200" b="1" baseline="0"/>
              <a:t>;</a:t>
            </a:r>
            <a:endParaRPr lang="el-GR" sz="1200" b="1"/>
          </a:p>
        </c:rich>
      </c:tx>
    </c:title>
    <c:view3D>
      <c:perspective val="0"/>
    </c:view3D>
    <c:plotArea>
      <c:layout>
        <c:manualLayout>
          <c:layoutTarget val="inner"/>
          <c:xMode val="edge"/>
          <c:yMode val="edge"/>
          <c:x val="5.5561601311464003E-2"/>
          <c:y val="0.32126528628366224"/>
          <c:w val="0.76014474934820064"/>
          <c:h val="0.56039335694391912"/>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extLst>
              <c:ext xmlns:c15="http://schemas.microsoft.com/office/drawing/2012/chart" uri="{CE6537A1-D6FC-4f65-9D91-7224C49458BB}"/>
            </c:extLst>
          </c:dLbls>
          <c:cat>
            <c:strRef>
              <c:f>ΔΙΑΓΡΑΜΜΑΤΑ!$A$96:$A$97</c:f>
              <c:strCache>
                <c:ptCount val="2"/>
                <c:pt idx="0">
                  <c:v>Ναι</c:v>
                </c:pt>
                <c:pt idx="1">
                  <c:v>Όχι</c:v>
                </c:pt>
              </c:strCache>
            </c:strRef>
          </c:cat>
          <c:val>
            <c:numRef>
              <c:f>ΔΙΑΓΡΑΜΜΑΤΑ!$C$96:$C$97</c:f>
              <c:numCache>
                <c:formatCode>0.0%</c:formatCode>
                <c:ptCount val="2"/>
                <c:pt idx="0">
                  <c:v>0.27333333333333326</c:v>
                </c:pt>
                <c:pt idx="1">
                  <c:v>0.72666666666666668</c:v>
                </c:pt>
              </c:numCache>
            </c:numRef>
          </c:val>
        </c:ser>
        <c:dLbls>
          <c:showPercent val="1"/>
        </c:dLbls>
      </c:pie3DChart>
      <c:spPr>
        <a:noFill/>
        <a:ln w="25400">
          <a:noFill/>
        </a:ln>
      </c:spPr>
    </c:plotArea>
    <c:legend>
      <c:legendPos val="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l-GR"/>
  <c:chart>
    <c:title>
      <c:tx>
        <c:rich>
          <a:bodyPr/>
          <a:lstStyle/>
          <a:p>
            <a:pPr>
              <a:defRPr sz="1200" b="1"/>
            </a:pPr>
            <a:r>
              <a:rPr lang="el-GR" sz="1200" b="1"/>
              <a:t>Διάγραμμα 6: </a:t>
            </a:r>
            <a:r>
              <a:rPr lang="el-GR" sz="1100" b="1"/>
              <a:t>Το άνοιγμα της</a:t>
            </a:r>
            <a:r>
              <a:rPr lang="el-GR" sz="1100" b="1" baseline="0"/>
              <a:t> Κυριακής 17 Ιουλίου συνέβαλε θετικά ή δεν επηρέασε το συνολικό τζίρο της εκπτωτικής περιόδου; </a:t>
            </a:r>
            <a:endParaRPr lang="el-GR" sz="1100" b="1"/>
          </a:p>
        </c:rich>
      </c:tx>
    </c:title>
    <c:view3D>
      <c:perspective val="0"/>
    </c:view3D>
    <c:plotArea>
      <c:layout>
        <c:manualLayout>
          <c:layoutTarget val="inner"/>
          <c:xMode val="edge"/>
          <c:yMode val="edge"/>
          <c:x val="5.5561601311464003E-2"/>
          <c:y val="0.32126528628366224"/>
          <c:w val="0.76014474934820064"/>
          <c:h val="0.56039335694391912"/>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extLst>
              <c:ext xmlns:c15="http://schemas.microsoft.com/office/drawing/2012/chart" uri="{CE6537A1-D6FC-4f65-9D91-7224C49458BB}"/>
            </c:extLst>
          </c:dLbls>
          <c:cat>
            <c:strRef>
              <c:f>ΔΙΑΓΡΑΜΜΑΤΑ!$A$116:$A$117</c:f>
              <c:strCache>
                <c:ptCount val="2"/>
                <c:pt idx="0">
                  <c:v>Συνέβαλε θετικά </c:v>
                </c:pt>
                <c:pt idx="1">
                  <c:v>Δεν επηρέασε</c:v>
                </c:pt>
              </c:strCache>
            </c:strRef>
          </c:cat>
          <c:val>
            <c:numRef>
              <c:f>ΔΙΑΓΡΑΜΜΑΤΑ!$C$116:$C$117</c:f>
              <c:numCache>
                <c:formatCode>0.0%</c:formatCode>
                <c:ptCount val="2"/>
                <c:pt idx="0">
                  <c:v>0.2</c:v>
                </c:pt>
                <c:pt idx="1">
                  <c:v>0.8</c:v>
                </c:pt>
              </c:numCache>
            </c:numRef>
          </c:val>
        </c:ser>
        <c:dLbls>
          <c:showPercent val="1"/>
        </c:dLbls>
      </c:pie3DChart>
      <c:spPr>
        <a:noFill/>
        <a:ln w="25400">
          <a:noFill/>
        </a:ln>
      </c:spPr>
    </c:plotArea>
    <c:legend>
      <c:legendPos val="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l-GR"/>
  <c:chart>
    <c:title>
      <c:tx>
        <c:rich>
          <a:bodyPr/>
          <a:lstStyle/>
          <a:p>
            <a:pPr>
              <a:defRPr lang="el-GR" sz="1200" b="1" i="0" u="none" strike="noStrike" baseline="0">
                <a:solidFill>
                  <a:srgbClr val="000000"/>
                </a:solidFill>
                <a:latin typeface="Arial"/>
                <a:ea typeface="Arial"/>
                <a:cs typeface="Arial"/>
              </a:defRPr>
            </a:pPr>
            <a:r>
              <a:rPr lang="el-GR"/>
              <a:t>Διάγραμμα 7: </a:t>
            </a:r>
            <a:r>
              <a:rPr lang="el-GR" sz="1100"/>
              <a:t>Πως</a:t>
            </a:r>
            <a:r>
              <a:rPr lang="el-GR" sz="1100" baseline="0"/>
              <a:t> καλύπτουν οι εμπορικές  επιχειρήσεις την ανάγκη απασχόλησης προσωπικού για τη λειτουργία της Κυριακής</a:t>
            </a:r>
            <a:endParaRPr lang="el-GR" sz="1100"/>
          </a:p>
        </c:rich>
      </c:tx>
      <c:spPr>
        <a:noFill/>
        <a:ln w="25400">
          <a:noFill/>
        </a:ln>
      </c:spPr>
    </c:title>
    <c:view3D>
      <c:perspective val="0"/>
    </c:view3D>
    <c:plotArea>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0000FF"/>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extLst>
              <c:ext xmlns:c15="http://schemas.microsoft.com/office/drawing/2012/chart" uri="{CE6537A1-D6FC-4f65-9D91-7224C49458BB}"/>
            </c:extLst>
          </c:dLbls>
          <c:cat>
            <c:strRef>
              <c:f>ΔΙΑΓΡΑΜΜΑΤΑ!$A$134:$A$135</c:f>
              <c:strCache>
                <c:ptCount val="2"/>
                <c:pt idx="0">
                  <c:v>Έχει επεκταθεί το ωράριο εργασίας των ήδη υπαρχόντων υπαλλήλων </c:v>
                </c:pt>
                <c:pt idx="1">
                  <c:v>Έχουν επωμιστεί προσωπικά την κάλυψη της ανάγκης </c:v>
                </c:pt>
              </c:strCache>
            </c:strRef>
          </c:cat>
          <c:val>
            <c:numRef>
              <c:f>ΔΙΑΓΡΑΜΜΑΤΑ!$D$134:$D$135</c:f>
              <c:numCache>
                <c:formatCode>0.0%</c:formatCode>
                <c:ptCount val="2"/>
                <c:pt idx="0">
                  <c:v>0.3611111111111111</c:v>
                </c:pt>
                <c:pt idx="1">
                  <c:v>0.63888888888889106</c:v>
                </c:pt>
              </c:numCache>
            </c:numRef>
          </c:val>
        </c:ser>
        <c:dLbls>
          <c:showPercent val="1"/>
        </c:dLbls>
      </c:pie3DChart>
      <c:spPr>
        <a:noFill/>
        <a:ln w="25400">
          <a:noFill/>
        </a:ln>
      </c:spPr>
    </c:plotArea>
    <c:legend>
      <c:legendPos val="r"/>
      <c:spPr>
        <a:noFill/>
        <a:ln>
          <a:noFill/>
        </a:ln>
      </c:spPr>
      <c:txPr>
        <a:bodyPr/>
        <a:lstStyle/>
        <a:p>
          <a:pPr rtl="0">
            <a:defRPr/>
          </a:pPr>
          <a:endParaRPr lang="el-GR"/>
        </a:p>
      </c:txP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Διάγραμμα 8: </a:t>
            </a:r>
            <a:r>
              <a:rPr lang="el-GR" sz="1100"/>
              <a:t>Σε</a:t>
            </a:r>
            <a:r>
              <a:rPr lang="el-GR" sz="1100" baseline="0"/>
              <a:t> τι βαθμό το άνοιγμα των Κυριακών έχει επιβαρύνει το λειτουργικό κόστος</a:t>
            </a:r>
            <a:endParaRPr lang="el-GR" sz="1100"/>
          </a:p>
        </c:rich>
      </c:tx>
      <c:layout>
        <c:manualLayout>
          <c:xMode val="edge"/>
          <c:yMode val="edge"/>
          <c:x val="0.13322486188155816"/>
          <c:y val="4.3901155166941215E-2"/>
        </c:manualLayout>
      </c:layout>
      <c:spPr>
        <a:noFill/>
        <a:ln w="25400">
          <a:noFill/>
        </a:ln>
      </c:spPr>
    </c:title>
    <c:view3D>
      <c:perspective val="0"/>
    </c:view3D>
    <c:plotArea>
      <c:layout>
        <c:manualLayout>
          <c:layoutTarget val="inner"/>
          <c:xMode val="edge"/>
          <c:yMode val="edge"/>
          <c:x val="0.1174496644295302"/>
          <c:y val="0.27725941047085056"/>
          <c:w val="0.62080536912751683"/>
          <c:h val="0.45794531841814629"/>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0000FF"/>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extLst>
              <c:ext xmlns:c15="http://schemas.microsoft.com/office/drawing/2012/chart" uri="{CE6537A1-D6FC-4f65-9D91-7224C49458BB}"/>
            </c:extLst>
          </c:dLbls>
          <c:cat>
            <c:strRef>
              <c:f>ΔΙΑΓΡΑΜΜΑΤΑ!$A$152:$A$155</c:f>
              <c:strCache>
                <c:ptCount val="4"/>
                <c:pt idx="0">
                  <c:v>Πάρα πολύ </c:v>
                </c:pt>
                <c:pt idx="1">
                  <c:v>Πολύ</c:v>
                </c:pt>
                <c:pt idx="2">
                  <c:v>Λίγο</c:v>
                </c:pt>
                <c:pt idx="3">
                  <c:v>Καθόλου</c:v>
                </c:pt>
              </c:strCache>
            </c:strRef>
          </c:cat>
          <c:val>
            <c:numRef>
              <c:f>ΔΙΑΓΡΑΜΜΑΤΑ!$D$152:$D$155</c:f>
              <c:numCache>
                <c:formatCode>0.0%</c:formatCode>
                <c:ptCount val="4"/>
                <c:pt idx="0">
                  <c:v>0.1388888888888889</c:v>
                </c:pt>
                <c:pt idx="1">
                  <c:v>0.30555555555555558</c:v>
                </c:pt>
                <c:pt idx="2">
                  <c:v>0.25</c:v>
                </c:pt>
                <c:pt idx="3">
                  <c:v>0.30555555555555558</c:v>
                </c:pt>
              </c:numCache>
            </c:numRef>
          </c:val>
        </c:ser>
        <c:dLbls>
          <c:showPercent val="1"/>
        </c:dLbls>
      </c:pie3DChart>
      <c:spPr>
        <a:noFill/>
        <a:ln w="25400">
          <a:noFill/>
        </a:ln>
      </c:spPr>
    </c:plotArea>
    <c:legend>
      <c:legendPos val="r"/>
      <c:spPr>
        <a:noFill/>
        <a:ln w="3175">
          <a:noFill/>
          <a:prstDash val="solid"/>
        </a:ln>
      </c:spPr>
      <c:txPr>
        <a:bodyPr/>
        <a:lstStyle/>
        <a:p>
          <a:pPr>
            <a:defRPr lang="el-GR" sz="800" b="0" i="0" u="none" strike="noStrike" baseline="0">
              <a:solidFill>
                <a:srgbClr val="000000"/>
              </a:solidFill>
              <a:latin typeface="Arial"/>
              <a:ea typeface="Arial"/>
              <a:cs typeface="Arial"/>
            </a:defRPr>
          </a:pPr>
          <a:endParaRPr lang="el-GR"/>
        </a:p>
      </c:txP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lang="el-GR" sz="1200" b="1" i="0" u="none" strike="noStrike" baseline="0">
                <a:solidFill>
                  <a:srgbClr val="000000"/>
                </a:solidFill>
                <a:latin typeface="Arial"/>
                <a:ea typeface="Arial"/>
                <a:cs typeface="Arial"/>
              </a:defRPr>
            </a:pPr>
            <a:r>
              <a:rPr lang="el-GR"/>
              <a:t>Διάγραμμα 9: </a:t>
            </a:r>
            <a:r>
              <a:rPr lang="el-GR" sz="1100"/>
              <a:t>Σε</a:t>
            </a:r>
            <a:r>
              <a:rPr lang="el-GR" sz="1100" baseline="0"/>
              <a:t> τι βαθμό το άνοιγμα των Κυριακών έχει συμβάλλει στην επισκεψιμότητα του καταστήματος</a:t>
            </a:r>
            <a:endParaRPr lang="el-GR" sz="1100"/>
          </a:p>
        </c:rich>
      </c:tx>
      <c:layout>
        <c:manualLayout>
          <c:xMode val="edge"/>
          <c:yMode val="edge"/>
          <c:x val="0.17605136606246582"/>
          <c:y val="3.0221064886574542E-2"/>
        </c:manualLayout>
      </c:layout>
      <c:spPr>
        <a:noFill/>
        <a:ln w="25400">
          <a:noFill/>
        </a:ln>
      </c:spPr>
    </c:title>
    <c:view3D>
      <c:perspective val="0"/>
    </c:view3D>
    <c:plotArea>
      <c:layout>
        <c:manualLayout>
          <c:layoutTarget val="inner"/>
          <c:xMode val="edge"/>
          <c:yMode val="edge"/>
          <c:x val="0.1174496644295302"/>
          <c:y val="0.27725941047085056"/>
          <c:w val="0.62080536912751683"/>
          <c:h val="0.45794531841814629"/>
        </c:manualLayout>
      </c:layout>
      <c:pie3DChart>
        <c:varyColors val="1"/>
        <c:ser>
          <c:idx val="0"/>
          <c:order val="0"/>
          <c:spPr>
            <a:solidFill>
              <a:srgbClr val="9999FF"/>
            </a:solidFill>
            <a:ln w="12700">
              <a:solidFill>
                <a:srgbClr val="000000"/>
              </a:solidFill>
              <a:prstDash val="solid"/>
            </a:ln>
          </c:spPr>
          <c:explosion val="25"/>
          <c:dPt>
            <c:idx val="0"/>
            <c:spPr>
              <a:solidFill>
                <a:srgbClr val="00FF0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0000FF"/>
              </a:solidFill>
              <a:ln w="12700">
                <a:solidFill>
                  <a:srgbClr val="000000"/>
                </a:solidFill>
                <a:prstDash val="solid"/>
              </a:ln>
            </c:spPr>
          </c:dPt>
          <c:dLbls>
            <c:numFmt formatCode="0%" sourceLinked="0"/>
            <c:spPr>
              <a:noFill/>
              <a:ln w="25400">
                <a:noFill/>
              </a:ln>
            </c:spPr>
            <c:txPr>
              <a:bodyPr/>
              <a:lstStyle/>
              <a:p>
                <a:pPr>
                  <a:defRPr lang="el-GR" sz="1100" b="1" i="0" u="none" strike="noStrike" baseline="0">
                    <a:solidFill>
                      <a:srgbClr val="000000"/>
                    </a:solidFill>
                    <a:latin typeface="Arial"/>
                    <a:ea typeface="Arial"/>
                    <a:cs typeface="Arial"/>
                  </a:defRPr>
                </a:pPr>
                <a:endParaRPr lang="el-GR"/>
              </a:p>
            </c:txPr>
            <c:showPercent val="1"/>
            <c:showLeaderLines val="1"/>
            <c:extLst>
              <c:ext xmlns:c15="http://schemas.microsoft.com/office/drawing/2012/chart" uri="{CE6537A1-D6FC-4f65-9D91-7224C49458BB}"/>
            </c:extLst>
          </c:dLbls>
          <c:cat>
            <c:strRef>
              <c:f>ΔΙΑΓΡΑΜΜΑΤΑ!$A$169:$A$172</c:f>
              <c:strCache>
                <c:ptCount val="4"/>
                <c:pt idx="0">
                  <c:v>Πάρα πολύ </c:v>
                </c:pt>
                <c:pt idx="1">
                  <c:v>Πολύ</c:v>
                </c:pt>
                <c:pt idx="2">
                  <c:v>Λίγο</c:v>
                </c:pt>
                <c:pt idx="3">
                  <c:v>Καθόλου</c:v>
                </c:pt>
              </c:strCache>
            </c:strRef>
          </c:cat>
          <c:val>
            <c:numRef>
              <c:f>ΔΙΑΓΡΑΜΜΑΤΑ!$D$169:$D$172</c:f>
              <c:numCache>
                <c:formatCode>0.0%</c:formatCode>
                <c:ptCount val="4"/>
                <c:pt idx="0">
                  <c:v>2.6315789473684216E-2</c:v>
                </c:pt>
                <c:pt idx="1">
                  <c:v>0.15789473684210611</c:v>
                </c:pt>
                <c:pt idx="2">
                  <c:v>0.28947368421052638</c:v>
                </c:pt>
                <c:pt idx="3">
                  <c:v>0.52631578947368418</c:v>
                </c:pt>
              </c:numCache>
            </c:numRef>
          </c:val>
        </c:ser>
        <c:dLbls>
          <c:showPercent val="1"/>
        </c:dLbls>
      </c:pie3DChart>
      <c:spPr>
        <a:noFill/>
        <a:ln w="25400">
          <a:noFill/>
        </a:ln>
      </c:spPr>
    </c:plotArea>
    <c:legend>
      <c:legendPos val="r"/>
      <c:spPr>
        <a:noFill/>
        <a:ln w="3175">
          <a:noFill/>
          <a:prstDash val="solid"/>
        </a:ln>
      </c:spPr>
      <c:txPr>
        <a:bodyPr/>
        <a:lstStyle/>
        <a:p>
          <a:pPr>
            <a:defRPr lang="el-GR" sz="800" b="0" i="0" u="none" strike="noStrike" baseline="0">
              <a:solidFill>
                <a:srgbClr val="000000"/>
              </a:solidFill>
              <a:latin typeface="Arial"/>
              <a:ea typeface="Arial"/>
              <a:cs typeface="Arial"/>
            </a:defRPr>
          </a:pPr>
          <a:endParaRPr lang="el-GR"/>
        </a:p>
      </c:txPr>
    </c:legend>
    <c:plotVisOnly val="1"/>
    <c:dispBlanksAs val="zero"/>
  </c:chart>
  <c:spPr>
    <a:solidFill>
      <a:srgbClr val="C0C0C0"/>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l-GR"/>
    </a:p>
  </c:txPr>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BCB83-75CD-4BE7-BCFC-4939F6B8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1934</Words>
  <Characters>10447</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kfilippou</dc:creator>
  <cp:lastModifiedBy>mfondrie</cp:lastModifiedBy>
  <cp:revision>8</cp:revision>
  <cp:lastPrinted>2014-11-28T10:07:00Z</cp:lastPrinted>
  <dcterms:created xsi:type="dcterms:W3CDTF">2016-08-31T05:01:00Z</dcterms:created>
  <dcterms:modified xsi:type="dcterms:W3CDTF">2016-08-31T06:15:00Z</dcterms:modified>
</cp:coreProperties>
</file>