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7C" w:rsidRPr="0076747C" w:rsidRDefault="0076747C" w:rsidP="0076747C">
      <w:pPr>
        <w:shd w:val="clear" w:color="auto" w:fill="FFFFFF"/>
        <w:spacing w:before="130" w:after="130" w:line="240" w:lineRule="auto"/>
        <w:jc w:val="center"/>
        <w:rPr>
          <w:rFonts w:ascii="Verdana" w:eastAsia="Times New Roman" w:hAnsi="Verdana" w:cs="Arial"/>
          <w:b/>
          <w:color w:val="303F50"/>
          <w:sz w:val="20"/>
          <w:szCs w:val="20"/>
          <w:lang w:eastAsia="el-GR"/>
        </w:rPr>
      </w:pPr>
      <w:r w:rsidRPr="0076747C">
        <w:rPr>
          <w:rFonts w:ascii="Verdana" w:eastAsia="Times New Roman" w:hAnsi="Verdana" w:cs="Arial"/>
          <w:b/>
          <w:color w:val="303F50"/>
          <w:sz w:val="20"/>
          <w:szCs w:val="20"/>
          <w:lang w:eastAsia="el-GR"/>
        </w:rPr>
        <w:t>ΟΙ ΕΛΕΥΘΕΡΟΙ ΕΠΑΓΓΕΛΜΑΤΙΕΣ ΣΤΗΝ ΗΛΕΚΤΡΟΝΙΚΗ ΠΛΑΤΦΟΡΜΑ ΤΟΥ ΕΞΩΔΙΚΑΣΤΙΚΟΥ ΜΗΧΑΝΙΣΜΟΥ ΡΥΘΜΙΣΗΣ ΟΦΕΙΛΩΝ</w:t>
      </w:r>
    </w:p>
    <w:p w:rsidR="0076747C" w:rsidRDefault="0076747C" w:rsidP="0076747C">
      <w:pPr>
        <w:shd w:val="clear" w:color="auto" w:fill="FFFFFF"/>
        <w:spacing w:before="130" w:after="130" w:line="240" w:lineRule="auto"/>
        <w:jc w:val="both"/>
        <w:rPr>
          <w:rFonts w:ascii="Verdana" w:eastAsia="Times New Roman" w:hAnsi="Verdana" w:cs="Arial"/>
          <w:color w:val="303F50"/>
          <w:sz w:val="20"/>
          <w:szCs w:val="20"/>
          <w:lang w:eastAsia="el-GR"/>
        </w:rPr>
      </w:pPr>
    </w:p>
    <w:p w:rsidR="0076747C" w:rsidRPr="0076747C" w:rsidRDefault="0076747C" w:rsidP="0076747C">
      <w:pPr>
        <w:shd w:val="clear" w:color="auto" w:fill="FFFFFF"/>
        <w:spacing w:before="130" w:after="130" w:line="240" w:lineRule="auto"/>
        <w:jc w:val="both"/>
        <w:rPr>
          <w:rFonts w:ascii="Verdana" w:eastAsia="Times New Roman" w:hAnsi="Verdana" w:cs="Arial"/>
          <w:color w:val="303F50"/>
          <w:sz w:val="20"/>
          <w:szCs w:val="20"/>
          <w:lang w:eastAsia="el-GR"/>
        </w:rPr>
      </w:pPr>
      <w:r w:rsidRPr="0076747C">
        <w:rPr>
          <w:rFonts w:ascii="Verdana" w:eastAsia="Times New Roman" w:hAnsi="Verdana" w:cs="Arial"/>
          <w:color w:val="303F50"/>
          <w:sz w:val="20"/>
          <w:szCs w:val="20"/>
          <w:lang w:eastAsia="el-GR"/>
        </w:rPr>
        <w:t>Στην ηλεκτρονική πλατφόρμα του εξωδικαστικού συμβιβασμού ρύθμισης οφειλών επιχειρήσεων, μπορούν να προσφεύγουν από σήμερα οι ελεύθεροι επαγγελματίες (γιατροί, δικηγόροι, μηχανικοί, λογιστές, δημοσιογράφοι, αγρότες κ.α.) προκειμένου να ρυθμίσουν οφειλές προς την Ανεξάρτητη Αρχή Δημοσίων Εσόδων και τον Ενιαίο Φορέα Κοινωνικής Ασφάλισης. Η αίτηση μπορεί να αφορά οφειλές έως 50.000 ευρώ προς την ΑΑΔΕ και επιπρόσθετα οφειλές έως 50.000 ευρώ προς τον ΕΦΚΑ. Τους επόμενους μήνες θα υπάρξει δυνατότητα ρύθμισης και για όσους έχουν υψηλότερες οφειλές.</w:t>
      </w:r>
    </w:p>
    <w:p w:rsidR="0076747C" w:rsidRPr="0076747C" w:rsidRDefault="0076747C" w:rsidP="0076747C">
      <w:pPr>
        <w:shd w:val="clear" w:color="auto" w:fill="FFFFFF"/>
        <w:spacing w:before="130" w:after="130" w:line="240" w:lineRule="auto"/>
        <w:jc w:val="both"/>
        <w:rPr>
          <w:rFonts w:ascii="Verdana" w:eastAsia="Times New Roman" w:hAnsi="Verdana" w:cs="Arial"/>
          <w:color w:val="303F50"/>
          <w:sz w:val="20"/>
          <w:szCs w:val="20"/>
          <w:lang w:eastAsia="el-GR"/>
        </w:rPr>
      </w:pPr>
      <w:r w:rsidRPr="0076747C">
        <w:rPr>
          <w:rFonts w:ascii="Verdana" w:eastAsia="Times New Roman" w:hAnsi="Verdana" w:cs="Arial"/>
          <w:color w:val="303F50"/>
          <w:sz w:val="20"/>
          <w:szCs w:val="20"/>
          <w:lang w:eastAsia="el-GR"/>
        </w:rPr>
        <w:t>Προϋπόθεση ένταξης στη διαδικασία είναι:</w:t>
      </w:r>
    </w:p>
    <w:p w:rsidR="0076747C" w:rsidRPr="0076747C" w:rsidRDefault="0076747C" w:rsidP="0076747C">
      <w:pPr>
        <w:numPr>
          <w:ilvl w:val="0"/>
          <w:numId w:val="1"/>
        </w:numPr>
        <w:shd w:val="clear" w:color="auto" w:fill="FFFFFF"/>
        <w:spacing w:before="30" w:after="0" w:line="245" w:lineRule="atLeast"/>
        <w:ind w:left="110"/>
        <w:jc w:val="both"/>
        <w:rPr>
          <w:rFonts w:ascii="Verdana" w:eastAsia="Times New Roman" w:hAnsi="Verdana" w:cs="Arial"/>
          <w:color w:val="303F50"/>
          <w:sz w:val="20"/>
          <w:szCs w:val="20"/>
          <w:lang w:eastAsia="el-GR"/>
        </w:rPr>
      </w:pPr>
      <w:r w:rsidRPr="0076747C">
        <w:rPr>
          <w:rFonts w:ascii="Verdana" w:eastAsia="Times New Roman" w:hAnsi="Verdana" w:cs="Arial"/>
          <w:color w:val="303F50"/>
          <w:sz w:val="20"/>
          <w:szCs w:val="20"/>
          <w:lang w:eastAsia="el-GR"/>
        </w:rPr>
        <w:t>Ο ελεύθερος επαγγελματίας να έχει επιτύχει κέρδη προ τόκων, φόρων και αποσβέσεων (EBITDA) μία φορά κατά την προηγούμενη τριετία (ακόμα και το φορολογικό έτος 2017, εφόσον επιθυμεί)</w:t>
      </w:r>
    </w:p>
    <w:p w:rsidR="0076747C" w:rsidRPr="0076747C" w:rsidRDefault="0076747C" w:rsidP="0076747C">
      <w:pPr>
        <w:numPr>
          <w:ilvl w:val="0"/>
          <w:numId w:val="1"/>
        </w:numPr>
        <w:shd w:val="clear" w:color="auto" w:fill="FFFFFF"/>
        <w:spacing w:before="30" w:after="0" w:line="245" w:lineRule="atLeast"/>
        <w:ind w:left="110"/>
        <w:jc w:val="both"/>
        <w:rPr>
          <w:rFonts w:ascii="Verdana" w:eastAsia="Times New Roman" w:hAnsi="Verdana" w:cs="Arial"/>
          <w:color w:val="303F50"/>
          <w:sz w:val="20"/>
          <w:szCs w:val="20"/>
          <w:lang w:eastAsia="el-GR"/>
        </w:rPr>
      </w:pPr>
      <w:r w:rsidRPr="0076747C">
        <w:rPr>
          <w:rFonts w:ascii="Verdana" w:eastAsia="Times New Roman" w:hAnsi="Verdana" w:cs="Arial"/>
          <w:color w:val="303F50"/>
          <w:sz w:val="20"/>
          <w:szCs w:val="20"/>
          <w:lang w:eastAsia="el-GR"/>
        </w:rPr>
        <w:t>Η οφειλή, μετά το «κούρεμα» προστίμων και προσαυξήσεων να αξιολογείται ως βιώσιμη και συγκεκριμένα είναι έως 8 φορές μεγαλύτερη του ετησίου εισοδήματος του οφειλέτη (π.χ. για εισόδημα 5.000 ευρώ, η οφειλή μετά το «κούρεμα» να είναι μέχρι 40.000 ευρώ)</w:t>
      </w:r>
    </w:p>
    <w:p w:rsidR="0076747C" w:rsidRPr="0076747C" w:rsidRDefault="0076747C" w:rsidP="0076747C">
      <w:pPr>
        <w:numPr>
          <w:ilvl w:val="0"/>
          <w:numId w:val="1"/>
        </w:numPr>
        <w:shd w:val="clear" w:color="auto" w:fill="FFFFFF"/>
        <w:spacing w:before="30" w:after="0" w:line="245" w:lineRule="atLeast"/>
        <w:ind w:left="110"/>
        <w:jc w:val="both"/>
        <w:rPr>
          <w:rFonts w:ascii="Verdana" w:eastAsia="Times New Roman" w:hAnsi="Verdana" w:cs="Arial"/>
          <w:color w:val="303F50"/>
          <w:sz w:val="20"/>
          <w:szCs w:val="20"/>
          <w:lang w:eastAsia="el-GR"/>
        </w:rPr>
      </w:pPr>
      <w:r w:rsidRPr="0076747C">
        <w:rPr>
          <w:rFonts w:ascii="Verdana" w:eastAsia="Times New Roman" w:hAnsi="Verdana" w:cs="Arial"/>
          <w:color w:val="303F50"/>
          <w:sz w:val="20"/>
          <w:szCs w:val="20"/>
          <w:lang w:eastAsia="el-GR"/>
        </w:rPr>
        <w:t>Η συνολική αξία των περιουσιακών στοιχείων του οφειλέτη να είναι μικρότερη από το 25πλασιο της οφειλής προς ρύθμιση (π.χ. για οφειλή προ «κουρέματος» 40.000 ευρώ, δεν πρέπει τα περιουσιακά στοιχεία να υπερβαίνουν το 1 εκατ. ευρώ)</w:t>
      </w:r>
    </w:p>
    <w:p w:rsidR="0076747C" w:rsidRPr="0076747C" w:rsidRDefault="0076747C" w:rsidP="0076747C">
      <w:pPr>
        <w:shd w:val="clear" w:color="auto" w:fill="FFFFFF"/>
        <w:spacing w:before="130" w:after="130" w:line="240" w:lineRule="auto"/>
        <w:jc w:val="both"/>
        <w:rPr>
          <w:rFonts w:ascii="Verdana" w:eastAsia="Times New Roman" w:hAnsi="Verdana" w:cs="Arial"/>
          <w:color w:val="303F50"/>
          <w:sz w:val="20"/>
          <w:szCs w:val="20"/>
          <w:lang w:eastAsia="el-GR"/>
        </w:rPr>
      </w:pPr>
      <w:r w:rsidRPr="0076747C">
        <w:rPr>
          <w:rFonts w:ascii="Verdana" w:eastAsia="Times New Roman" w:hAnsi="Verdana" w:cs="Arial"/>
          <w:color w:val="303F50"/>
          <w:sz w:val="20"/>
          <w:szCs w:val="20"/>
          <w:lang w:eastAsia="el-GR"/>
        </w:rPr>
        <w:t>Οι ρυθμίσεις περιλαμβάνουν «κούρεμα» τόκων, προστίμων και προσαυξήσεων, καθώς και επιμήκυνση της εναπομείνασας οφειλής έως 120 δόσεις, ανάλογα με το ύψος της οφειλής και του εισοδήματος του οφειλέτη.</w:t>
      </w:r>
    </w:p>
    <w:p w:rsidR="0076747C" w:rsidRPr="0076747C" w:rsidRDefault="0076747C" w:rsidP="0076747C">
      <w:pPr>
        <w:shd w:val="clear" w:color="auto" w:fill="FFFFFF"/>
        <w:spacing w:before="130" w:after="130" w:line="240" w:lineRule="auto"/>
        <w:jc w:val="both"/>
        <w:rPr>
          <w:rFonts w:ascii="Verdana" w:eastAsia="Times New Roman" w:hAnsi="Verdana" w:cs="Arial"/>
          <w:color w:val="303F50"/>
          <w:sz w:val="20"/>
          <w:szCs w:val="20"/>
          <w:lang w:eastAsia="el-GR"/>
        </w:rPr>
      </w:pPr>
      <w:r w:rsidRPr="0076747C">
        <w:rPr>
          <w:rFonts w:ascii="Verdana" w:eastAsia="Times New Roman" w:hAnsi="Verdana" w:cs="Arial"/>
          <w:color w:val="303F50"/>
          <w:sz w:val="20"/>
          <w:szCs w:val="20"/>
          <w:lang w:eastAsia="el-GR"/>
        </w:rPr>
        <w:t>Συγκεκριμένα:</w:t>
      </w:r>
    </w:p>
    <w:p w:rsidR="0076747C" w:rsidRPr="0076747C" w:rsidRDefault="0076747C" w:rsidP="0076747C">
      <w:pPr>
        <w:numPr>
          <w:ilvl w:val="0"/>
          <w:numId w:val="2"/>
        </w:numPr>
        <w:shd w:val="clear" w:color="auto" w:fill="FFFFFF"/>
        <w:spacing w:before="30" w:after="0" w:line="245" w:lineRule="atLeast"/>
        <w:ind w:left="110"/>
        <w:jc w:val="both"/>
        <w:rPr>
          <w:rFonts w:ascii="Verdana" w:eastAsia="Times New Roman" w:hAnsi="Verdana" w:cs="Arial"/>
          <w:color w:val="303F50"/>
          <w:sz w:val="20"/>
          <w:szCs w:val="20"/>
          <w:lang w:eastAsia="el-GR"/>
        </w:rPr>
      </w:pPr>
      <w:r w:rsidRPr="0076747C">
        <w:rPr>
          <w:rFonts w:ascii="Verdana" w:eastAsia="Times New Roman" w:hAnsi="Verdana" w:cs="Arial"/>
          <w:color w:val="303F50"/>
          <w:sz w:val="20"/>
          <w:szCs w:val="20"/>
          <w:lang w:eastAsia="el-GR"/>
        </w:rPr>
        <w:t>για οφειλές έως 3.000 ευρώ προσφέρονται μέχρι 36 δόσεις</w:t>
      </w:r>
    </w:p>
    <w:p w:rsidR="0076747C" w:rsidRPr="0076747C" w:rsidRDefault="0076747C" w:rsidP="0076747C">
      <w:pPr>
        <w:numPr>
          <w:ilvl w:val="0"/>
          <w:numId w:val="2"/>
        </w:numPr>
        <w:shd w:val="clear" w:color="auto" w:fill="FFFFFF"/>
        <w:spacing w:before="30" w:after="0" w:line="245" w:lineRule="atLeast"/>
        <w:ind w:left="110"/>
        <w:jc w:val="both"/>
        <w:rPr>
          <w:rFonts w:ascii="Verdana" w:eastAsia="Times New Roman" w:hAnsi="Verdana" w:cs="Arial"/>
          <w:color w:val="303F50"/>
          <w:sz w:val="20"/>
          <w:szCs w:val="20"/>
          <w:lang w:eastAsia="el-GR"/>
        </w:rPr>
      </w:pPr>
      <w:r w:rsidRPr="0076747C">
        <w:rPr>
          <w:rFonts w:ascii="Verdana" w:eastAsia="Times New Roman" w:hAnsi="Verdana" w:cs="Arial"/>
          <w:color w:val="303F50"/>
          <w:sz w:val="20"/>
          <w:szCs w:val="20"/>
          <w:lang w:eastAsia="el-GR"/>
        </w:rPr>
        <w:t>για οφειλές 3.000,01 – 20.000 ευρώ προβλέπεται «κούρεμα» 85% τόκων και προσαυξήσεων, καθώς και ρύθμιση έως 120 δόσεις</w:t>
      </w:r>
    </w:p>
    <w:p w:rsidR="0076747C" w:rsidRPr="0076747C" w:rsidRDefault="0076747C" w:rsidP="0076747C">
      <w:pPr>
        <w:numPr>
          <w:ilvl w:val="0"/>
          <w:numId w:val="2"/>
        </w:numPr>
        <w:shd w:val="clear" w:color="auto" w:fill="FFFFFF"/>
        <w:spacing w:before="30" w:after="0" w:line="245" w:lineRule="atLeast"/>
        <w:ind w:left="110"/>
        <w:jc w:val="both"/>
        <w:rPr>
          <w:rFonts w:ascii="Verdana" w:eastAsia="Times New Roman" w:hAnsi="Verdana" w:cs="Arial"/>
          <w:color w:val="303F50"/>
          <w:sz w:val="20"/>
          <w:szCs w:val="20"/>
          <w:lang w:eastAsia="el-GR"/>
        </w:rPr>
      </w:pPr>
      <w:r w:rsidRPr="0076747C">
        <w:rPr>
          <w:rFonts w:ascii="Verdana" w:eastAsia="Times New Roman" w:hAnsi="Verdana" w:cs="Arial"/>
          <w:color w:val="303F50"/>
          <w:sz w:val="20"/>
          <w:szCs w:val="20"/>
          <w:lang w:eastAsia="el-GR"/>
        </w:rPr>
        <w:t>για οφειλές 20.000,01 – 50.000 ευρώ προβλέπεται «κούρεμα» 85% τόκων και προσαυξήσεων και επιπλέον «κούρεμα» 95% προστίμων, καθώς και ρύθμιση έως 120 δόσεις</w:t>
      </w:r>
    </w:p>
    <w:p w:rsidR="0076747C" w:rsidRPr="0076747C" w:rsidRDefault="0076747C" w:rsidP="0076747C">
      <w:pPr>
        <w:shd w:val="clear" w:color="auto" w:fill="FFFFFF"/>
        <w:spacing w:before="130" w:after="130" w:line="240" w:lineRule="auto"/>
        <w:jc w:val="both"/>
        <w:rPr>
          <w:rFonts w:ascii="Verdana" w:eastAsia="Times New Roman" w:hAnsi="Verdana" w:cs="Arial"/>
          <w:color w:val="303F50"/>
          <w:sz w:val="20"/>
          <w:szCs w:val="20"/>
          <w:lang w:eastAsia="el-GR"/>
        </w:rPr>
      </w:pPr>
      <w:r w:rsidRPr="0076747C">
        <w:rPr>
          <w:rFonts w:ascii="Verdana" w:eastAsia="Times New Roman" w:hAnsi="Verdana" w:cs="Arial"/>
          <w:color w:val="303F50"/>
          <w:sz w:val="20"/>
          <w:szCs w:val="20"/>
          <w:lang w:eastAsia="el-GR"/>
        </w:rPr>
        <w:t>Ο καθορισμός της δόσης προκύπτει βάση της αρχής ότι το άθροισμα δόσεων προς ΑΑΔΕ και ΕΦΚΑ σε ετήσια βάση δεν μπορεί να υπερβαίνει το ένα τρίτο του καθαρού εισοδήματος (EBITDA), προσαυξημένο με το μέσο όρο τριετίας των εσόδων από άλλες πηγές (π.χ. ενοίκια). Για τον προσδιορισμό του εισοδήματος λαμβάνεται υπόψη είτε το εισόδημα του προηγούμενου έτους είτε ο μέσος όρος της προηγούμενης τριετίας (ότι είναι υψηλότερο από τα δύο).</w:t>
      </w:r>
    </w:p>
    <w:p w:rsidR="0076747C" w:rsidRPr="0076747C" w:rsidRDefault="0076747C" w:rsidP="0076747C">
      <w:pPr>
        <w:shd w:val="clear" w:color="auto" w:fill="FFFFFF"/>
        <w:spacing w:after="0" w:line="240" w:lineRule="auto"/>
        <w:jc w:val="both"/>
        <w:rPr>
          <w:rFonts w:ascii="Verdana" w:eastAsia="Times New Roman" w:hAnsi="Verdana" w:cs="Arial"/>
          <w:color w:val="FF0000"/>
          <w:sz w:val="20"/>
          <w:szCs w:val="20"/>
          <w:lang w:eastAsia="el-GR"/>
        </w:rPr>
      </w:pPr>
      <w:r w:rsidRPr="0076747C">
        <w:rPr>
          <w:rFonts w:ascii="Verdana" w:eastAsia="Times New Roman" w:hAnsi="Verdana" w:cs="Arial"/>
          <w:color w:val="303F50"/>
          <w:sz w:val="20"/>
          <w:szCs w:val="20"/>
          <w:lang w:eastAsia="el-GR"/>
        </w:rPr>
        <w:t xml:space="preserve">Η πρόσβαση στην ηλεκτρονική πλατφόρμα του εξωδικαστικού γίνεται μέσω του </w:t>
      </w:r>
      <w:proofErr w:type="spellStart"/>
      <w:r w:rsidRPr="0076747C">
        <w:rPr>
          <w:rFonts w:ascii="Verdana" w:eastAsia="Times New Roman" w:hAnsi="Verdana" w:cs="Arial"/>
          <w:color w:val="303F50"/>
          <w:sz w:val="20"/>
          <w:szCs w:val="20"/>
          <w:lang w:eastAsia="el-GR"/>
        </w:rPr>
        <w:t>ιστοτόπου</w:t>
      </w:r>
      <w:proofErr w:type="spellEnd"/>
      <w:r w:rsidRPr="0076747C">
        <w:rPr>
          <w:rFonts w:ascii="Verdana" w:eastAsia="Times New Roman" w:hAnsi="Verdana" w:cs="Arial"/>
          <w:color w:val="303F50"/>
          <w:sz w:val="20"/>
          <w:szCs w:val="20"/>
          <w:lang w:eastAsia="el-GR"/>
        </w:rPr>
        <w:t xml:space="preserve"> της ΕΓΔΙΧ, στη διεύθυνση </w:t>
      </w:r>
      <w:hyperlink r:id="rId5" w:history="1">
        <w:r w:rsidRPr="0076747C">
          <w:rPr>
            <w:rFonts w:ascii="Verdana" w:eastAsia="Times New Roman" w:hAnsi="Verdana" w:cs="Arial"/>
            <w:b/>
            <w:color w:val="FF0000"/>
            <w:sz w:val="20"/>
            <w:szCs w:val="20"/>
            <w:lang w:eastAsia="el-GR"/>
          </w:rPr>
          <w:t>www.keyd.gov.gr</w:t>
        </w:r>
      </w:hyperlink>
    </w:p>
    <w:p w:rsidR="0076747C" w:rsidRPr="0076747C" w:rsidRDefault="0076747C" w:rsidP="0076747C">
      <w:pPr>
        <w:shd w:val="clear" w:color="auto" w:fill="FFFFFF"/>
        <w:spacing w:before="130" w:after="130" w:line="240" w:lineRule="auto"/>
        <w:jc w:val="both"/>
        <w:rPr>
          <w:rFonts w:ascii="Verdana" w:eastAsia="Times New Roman" w:hAnsi="Verdana" w:cs="Arial"/>
          <w:color w:val="303F50"/>
          <w:sz w:val="20"/>
          <w:szCs w:val="20"/>
          <w:lang w:eastAsia="el-GR"/>
        </w:rPr>
      </w:pPr>
      <w:r w:rsidRPr="0076747C">
        <w:rPr>
          <w:rFonts w:ascii="Verdana" w:eastAsia="Times New Roman" w:hAnsi="Verdana" w:cs="Arial"/>
          <w:color w:val="303F50"/>
          <w:sz w:val="20"/>
          <w:szCs w:val="20"/>
          <w:lang w:eastAsia="el-GR"/>
        </w:rPr>
        <w:t>Επίσης από σήμερα ενεργοποιείται νέα αναβάθμιση της ηλεκτρονικής πλατφόρμας του εξωδικαστικού, περιλαμβάνοντας πρόσθετους αυτοματισμούς, μεταξύ των οποίων και την καταχώρηση των στοιχείων οφειλών προς την ΑΑΔΕ. Πλέον, δηλαδή, όλες οι οφειλές προς τράπεζες, ΕΦΚΑ και ΑΑΔΕ καταχωρούνται αυτόματα.</w:t>
      </w:r>
    </w:p>
    <w:p w:rsidR="00D22E56" w:rsidRDefault="00D22E56"/>
    <w:sectPr w:rsidR="00D22E56" w:rsidSect="00D22E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70527"/>
    <w:multiLevelType w:val="multilevel"/>
    <w:tmpl w:val="74B82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3E4712"/>
    <w:multiLevelType w:val="multilevel"/>
    <w:tmpl w:val="7754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747C"/>
    <w:rsid w:val="001C4D50"/>
    <w:rsid w:val="0076747C"/>
    <w:rsid w:val="00D22E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6747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76747C"/>
    <w:rPr>
      <w:color w:val="0000FF"/>
      <w:u w:val="single"/>
    </w:rPr>
  </w:style>
</w:styles>
</file>

<file path=word/webSettings.xml><?xml version="1.0" encoding="utf-8"?>
<w:webSettings xmlns:r="http://schemas.openxmlformats.org/officeDocument/2006/relationships" xmlns:w="http://schemas.openxmlformats.org/wordprocessingml/2006/main">
  <w:divs>
    <w:div w:id="9953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yd.gov.gr/np_ocw_home/"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436</Words>
  <Characters>2360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e.kougioumtzeli</dc:creator>
  <cp:keywords/>
  <dc:description/>
  <cp:lastModifiedBy>e.kougioumtzeli</cp:lastModifiedBy>
  <cp:revision>3</cp:revision>
  <cp:lastPrinted>2018-02-05T14:57:00Z</cp:lastPrinted>
  <dcterms:created xsi:type="dcterms:W3CDTF">2018-02-05T14:54:00Z</dcterms:created>
  <dcterms:modified xsi:type="dcterms:W3CDTF">2018-02-05T15:05:00Z</dcterms:modified>
</cp:coreProperties>
</file>