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C2A" w14:textId="2FADAA01" w:rsidR="00E74B88" w:rsidRDefault="00E74B88">
      <w:pPr>
        <w:rPr>
          <w:rFonts w:asciiTheme="minorHAnsi" w:eastAsiaTheme="majorEastAsia" w:hAnsiTheme="minorHAnsi" w:cstheme="minorHAnsi"/>
          <w:b/>
          <w:bCs/>
          <w:color w:val="2E74B5" w:themeColor="accent5" w:themeShade="BF"/>
          <w:spacing w:val="-10"/>
          <w:kern w:val="28"/>
          <w:sz w:val="36"/>
          <w:szCs w:val="36"/>
          <w:lang w:eastAsia="en-US"/>
        </w:rPr>
      </w:pPr>
      <w:r w:rsidRPr="00E74B88">
        <w:rPr>
          <w:rFonts w:asciiTheme="minorHAnsi" w:eastAsiaTheme="minorHAnsi" w:hAnsiTheme="minorHAnsi" w:cstheme="minorHAnsi"/>
          <w:b/>
          <w:bCs/>
          <w:noProof/>
          <w:sz w:val="24"/>
          <w:lang w:eastAsia="en-US"/>
        </w:rPr>
        <w:drawing>
          <wp:anchor distT="0" distB="0" distL="114300" distR="114300" simplePos="0" relativeHeight="251667456" behindDoc="0" locked="0" layoutInCell="1" allowOverlap="1" wp14:anchorId="345FB2B1" wp14:editId="58DC7A04">
            <wp:simplePos x="0" y="0"/>
            <wp:positionH relativeFrom="margin">
              <wp:align>center</wp:align>
            </wp:positionH>
            <wp:positionV relativeFrom="paragraph">
              <wp:posOffset>-927966</wp:posOffset>
            </wp:positionV>
            <wp:extent cx="6899564" cy="10143666"/>
            <wp:effectExtent l="0" t="0" r="0" b="0"/>
            <wp:wrapNone/>
            <wp:docPr id="16129576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57698" name=""/>
                    <pic:cNvPicPr/>
                  </pic:nvPicPr>
                  <pic:blipFill>
                    <a:blip r:embed="rId8">
                      <a:extLst>
                        <a:ext uri="{28A0092B-C50C-407E-A947-70E740481C1C}">
                          <a14:useLocalDpi xmlns:a14="http://schemas.microsoft.com/office/drawing/2010/main" val="0"/>
                        </a:ext>
                      </a:extLst>
                    </a:blip>
                    <a:stretch>
                      <a:fillRect/>
                    </a:stretch>
                  </pic:blipFill>
                  <pic:spPr>
                    <a:xfrm>
                      <a:off x="0" y="0"/>
                      <a:ext cx="6899564" cy="1014366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ajorEastAsia" w:hAnsiTheme="minorHAnsi" w:cstheme="minorHAnsi"/>
          <w:b/>
          <w:bCs/>
          <w:color w:val="2E74B5" w:themeColor="accent5" w:themeShade="BF"/>
          <w:spacing w:val="-10"/>
          <w:kern w:val="28"/>
          <w:sz w:val="36"/>
          <w:szCs w:val="36"/>
          <w:lang w:eastAsia="en-US"/>
        </w:rPr>
        <w:br w:type="page"/>
      </w:r>
    </w:p>
    <w:p w14:paraId="7CF3DE9B" w14:textId="7D338DEF" w:rsidR="00E74B88" w:rsidRPr="00290967" w:rsidRDefault="00E74B88" w:rsidP="00E74B88">
      <w:pPr>
        <w:jc w:val="center"/>
        <w:rPr>
          <w:rFonts w:asciiTheme="minorHAnsi" w:eastAsiaTheme="majorEastAsia" w:hAnsiTheme="minorHAnsi" w:cstheme="minorHAnsi"/>
          <w:b/>
          <w:bCs/>
          <w:color w:val="2E74B5" w:themeColor="accent5" w:themeShade="BF"/>
          <w:spacing w:val="-10"/>
          <w:kern w:val="28"/>
          <w:sz w:val="36"/>
          <w:szCs w:val="36"/>
          <w:lang w:eastAsia="en-US"/>
        </w:rPr>
      </w:pPr>
      <w:r w:rsidRPr="00290967">
        <w:rPr>
          <w:rFonts w:asciiTheme="minorHAnsi" w:eastAsiaTheme="majorEastAsia" w:hAnsiTheme="minorHAnsi" w:cstheme="minorHAnsi"/>
          <w:b/>
          <w:bCs/>
          <w:color w:val="2E74B5" w:themeColor="accent5" w:themeShade="BF"/>
          <w:spacing w:val="-10"/>
          <w:kern w:val="28"/>
          <w:sz w:val="36"/>
          <w:szCs w:val="36"/>
          <w:lang w:eastAsia="en-US"/>
        </w:rPr>
        <w:lastRenderedPageBreak/>
        <w:t xml:space="preserve">Οκτώ δέσμες προτάσεων για την «Περιφερειακή Ανάπτυξη» </w:t>
      </w:r>
      <w:r>
        <w:rPr>
          <w:rFonts w:asciiTheme="minorHAnsi" w:eastAsiaTheme="majorEastAsia" w:hAnsiTheme="minorHAnsi" w:cstheme="minorHAnsi"/>
          <w:b/>
          <w:bCs/>
          <w:color w:val="2E74B5" w:themeColor="accent5" w:themeShade="BF"/>
          <w:spacing w:val="-10"/>
          <w:kern w:val="28"/>
          <w:sz w:val="36"/>
          <w:szCs w:val="36"/>
          <w:lang w:eastAsia="en-US"/>
        </w:rPr>
        <w:br/>
      </w:r>
      <w:r w:rsidRPr="00290967">
        <w:rPr>
          <w:rFonts w:asciiTheme="minorHAnsi" w:eastAsiaTheme="majorEastAsia" w:hAnsiTheme="minorHAnsi" w:cstheme="minorHAnsi"/>
          <w:b/>
          <w:bCs/>
          <w:color w:val="2E74B5" w:themeColor="accent5" w:themeShade="BF"/>
          <w:spacing w:val="-10"/>
          <w:kern w:val="28"/>
          <w:sz w:val="36"/>
          <w:szCs w:val="36"/>
          <w:lang w:eastAsia="en-US"/>
        </w:rPr>
        <w:t>και την άμβλυνση των «Περιφερειακών Ανισοτήτων»</w:t>
      </w:r>
    </w:p>
    <w:p w14:paraId="798B0584" w14:textId="77777777" w:rsidR="005236C1" w:rsidRDefault="005236C1" w:rsidP="005236C1">
      <w:pPr>
        <w:ind w:left="-284"/>
        <w:jc w:val="both"/>
        <w:rPr>
          <w:rFonts w:asciiTheme="minorHAnsi" w:eastAsiaTheme="majorEastAsia" w:hAnsiTheme="minorHAnsi" w:cstheme="minorHAnsi"/>
          <w:b/>
          <w:bCs/>
          <w:color w:val="2E74B5" w:themeColor="accent5" w:themeShade="BF"/>
          <w:spacing w:val="-10"/>
          <w:kern w:val="28"/>
          <w:sz w:val="24"/>
          <w:lang w:eastAsia="en-US"/>
        </w:rPr>
      </w:pPr>
    </w:p>
    <w:p w14:paraId="134A52B5" w14:textId="77777777" w:rsidR="00E74B88"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E90B5A">
        <w:rPr>
          <w:rFonts w:asciiTheme="minorHAnsi" w:eastAsiaTheme="minorHAnsi" w:hAnsiTheme="minorHAnsi" w:cstheme="minorHAnsi"/>
          <w:b/>
          <w:bCs/>
          <w:sz w:val="28"/>
          <w:szCs w:val="28"/>
          <w:lang w:eastAsia="en-US"/>
        </w:rPr>
        <w:t>Ανάσχεση των συνεπειών των φυσικών καταστροφών στη Θράκη</w:t>
      </w:r>
    </w:p>
    <w:p w14:paraId="2553ACF7"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Αδυναμία εξεύρεσης προσωπικού</w:t>
      </w:r>
    </w:p>
    <w:p w14:paraId="161F56F3"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Υποδομές</w:t>
      </w:r>
    </w:p>
    <w:p w14:paraId="4B576C3D"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Διεύρυνση της παραγωγικής βάσης</w:t>
      </w:r>
    </w:p>
    <w:p w14:paraId="73E03055"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Μείωση του τεχνολογικού ελλείμματος</w:t>
      </w:r>
    </w:p>
    <w:p w14:paraId="7AAB145A"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Ρυθμιστικό περιβάλλον</w:t>
      </w:r>
    </w:p>
    <w:p w14:paraId="1038BB0E"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Βιώσιμη ανάπτυξη</w:t>
      </w:r>
    </w:p>
    <w:p w14:paraId="6B6CD363" w14:textId="77777777" w:rsidR="00E74B88" w:rsidRPr="00290967" w:rsidRDefault="00E74B88" w:rsidP="00E74B88">
      <w:pPr>
        <w:pStyle w:val="ListParagraph"/>
        <w:numPr>
          <w:ilvl w:val="0"/>
          <w:numId w:val="30"/>
        </w:numPr>
        <w:spacing w:after="120"/>
        <w:ind w:left="2126" w:hanging="357"/>
        <w:contextualSpacing w:val="0"/>
        <w:rPr>
          <w:rFonts w:asciiTheme="minorHAnsi" w:eastAsiaTheme="minorHAnsi" w:hAnsiTheme="minorHAnsi" w:cstheme="minorHAnsi"/>
          <w:b/>
          <w:bCs/>
          <w:sz w:val="28"/>
          <w:szCs w:val="28"/>
          <w:lang w:eastAsia="en-US"/>
        </w:rPr>
      </w:pPr>
      <w:r w:rsidRPr="00290967">
        <w:rPr>
          <w:rFonts w:asciiTheme="minorHAnsi" w:eastAsiaTheme="minorHAnsi" w:hAnsiTheme="minorHAnsi" w:cstheme="minorHAnsi"/>
          <w:b/>
          <w:bCs/>
          <w:sz w:val="28"/>
          <w:szCs w:val="28"/>
          <w:lang w:eastAsia="en-US"/>
        </w:rPr>
        <w:t>Ενέργεια</w:t>
      </w:r>
    </w:p>
    <w:p w14:paraId="48F66BDC" w14:textId="77777777" w:rsidR="00E74B88" w:rsidRDefault="00E74B88" w:rsidP="00E74B88">
      <w:pPr>
        <w:rPr>
          <w:rFonts w:asciiTheme="minorHAnsi" w:eastAsiaTheme="minorHAnsi" w:hAnsiTheme="minorHAnsi" w:cstheme="minorHAnsi"/>
          <w:b/>
          <w:bCs/>
          <w:sz w:val="24"/>
          <w:lang w:eastAsia="en-US"/>
        </w:rPr>
      </w:pPr>
    </w:p>
    <w:p w14:paraId="7F6EE339" w14:textId="77777777" w:rsidR="00B5575B" w:rsidRPr="00290967" w:rsidRDefault="00B5575B" w:rsidP="00E74B88">
      <w:pPr>
        <w:rPr>
          <w:rFonts w:asciiTheme="minorHAnsi" w:eastAsiaTheme="minorHAnsi" w:hAnsiTheme="minorHAnsi" w:cstheme="minorHAnsi"/>
          <w:b/>
          <w:bCs/>
          <w:sz w:val="24"/>
          <w:lang w:eastAsia="en-US"/>
        </w:rPr>
      </w:pPr>
    </w:p>
    <w:tbl>
      <w:tblPr>
        <w:tblStyle w:val="TableGrid"/>
        <w:tblW w:w="10207" w:type="dxa"/>
        <w:tblInd w:w="-289" w:type="dxa"/>
        <w:tblLook w:val="04A0" w:firstRow="1" w:lastRow="0" w:firstColumn="1" w:lastColumn="0" w:noHBand="0" w:noVBand="1"/>
      </w:tblPr>
      <w:tblGrid>
        <w:gridCol w:w="2836"/>
        <w:gridCol w:w="3118"/>
        <w:gridCol w:w="4253"/>
      </w:tblGrid>
      <w:tr w:rsidR="00121AA7" w:rsidRPr="008E3678" w14:paraId="64BF7F12" w14:textId="77777777" w:rsidTr="00121AA7">
        <w:trPr>
          <w:trHeight w:val="119"/>
          <w:tblHeader/>
        </w:trPr>
        <w:tc>
          <w:tcPr>
            <w:tcW w:w="2836" w:type="dxa"/>
            <w:shd w:val="clear" w:color="auto" w:fill="D9D9D9" w:themeFill="background1" w:themeFillShade="D9"/>
          </w:tcPr>
          <w:p w14:paraId="68AD985D" w14:textId="77777777" w:rsidR="00121AA7" w:rsidRPr="004E4B8D" w:rsidRDefault="00121AA7" w:rsidP="00297EE1">
            <w:pPr>
              <w:jc w:val="center"/>
              <w:rPr>
                <w:rFonts w:asciiTheme="minorHAnsi" w:hAnsiTheme="minorHAnsi" w:cstheme="minorHAnsi"/>
                <w:b/>
                <w:sz w:val="20"/>
                <w:szCs w:val="20"/>
              </w:rPr>
            </w:pPr>
            <w:r w:rsidRPr="004E4B8D">
              <w:rPr>
                <w:rFonts w:asciiTheme="minorHAnsi" w:hAnsiTheme="minorHAnsi" w:cstheme="minorHAnsi"/>
                <w:b/>
                <w:sz w:val="20"/>
                <w:szCs w:val="20"/>
              </w:rPr>
              <w:t>Διαπίστωση</w:t>
            </w:r>
          </w:p>
        </w:tc>
        <w:tc>
          <w:tcPr>
            <w:tcW w:w="3118" w:type="dxa"/>
            <w:shd w:val="clear" w:color="auto" w:fill="D9D9D9" w:themeFill="background1" w:themeFillShade="D9"/>
          </w:tcPr>
          <w:p w14:paraId="66BB151A" w14:textId="52CCB3B6" w:rsidR="00121AA7" w:rsidRPr="004E4B8D" w:rsidRDefault="00121AA7" w:rsidP="005236C1">
            <w:pPr>
              <w:jc w:val="center"/>
              <w:rPr>
                <w:rFonts w:asciiTheme="minorHAnsi" w:hAnsiTheme="minorHAnsi" w:cstheme="minorHAnsi"/>
                <w:b/>
                <w:sz w:val="20"/>
                <w:szCs w:val="20"/>
              </w:rPr>
            </w:pPr>
            <w:r w:rsidRPr="004E4B8D">
              <w:rPr>
                <w:rFonts w:asciiTheme="minorHAnsi" w:hAnsiTheme="minorHAnsi" w:cstheme="minorHAnsi"/>
                <w:b/>
                <w:sz w:val="20"/>
                <w:szCs w:val="20"/>
              </w:rPr>
              <w:t>Προκλήσεις</w:t>
            </w:r>
          </w:p>
        </w:tc>
        <w:tc>
          <w:tcPr>
            <w:tcW w:w="4253" w:type="dxa"/>
            <w:shd w:val="clear" w:color="auto" w:fill="D9D9D9" w:themeFill="background1" w:themeFillShade="D9"/>
          </w:tcPr>
          <w:p w14:paraId="3225872C" w14:textId="77777777" w:rsidR="00121AA7" w:rsidRPr="004E4B8D" w:rsidRDefault="00121AA7" w:rsidP="00297EE1">
            <w:pPr>
              <w:jc w:val="center"/>
              <w:rPr>
                <w:rFonts w:asciiTheme="minorHAnsi" w:hAnsiTheme="minorHAnsi" w:cstheme="minorHAnsi"/>
                <w:b/>
                <w:sz w:val="20"/>
                <w:szCs w:val="20"/>
              </w:rPr>
            </w:pPr>
            <w:r w:rsidRPr="004E4B8D">
              <w:rPr>
                <w:rFonts w:asciiTheme="minorHAnsi" w:hAnsiTheme="minorHAnsi" w:cstheme="minorHAnsi"/>
                <w:b/>
                <w:sz w:val="20"/>
                <w:szCs w:val="20"/>
              </w:rPr>
              <w:t>Προτάσεις επίλυσης του προβλήματος</w:t>
            </w:r>
          </w:p>
        </w:tc>
      </w:tr>
      <w:tr w:rsidR="0032702D" w:rsidRPr="0032702D" w14:paraId="7D771548" w14:textId="77777777" w:rsidTr="00390DC9">
        <w:trPr>
          <w:trHeight w:val="397"/>
        </w:trPr>
        <w:tc>
          <w:tcPr>
            <w:tcW w:w="10207" w:type="dxa"/>
            <w:gridSpan w:val="3"/>
            <w:shd w:val="clear" w:color="auto" w:fill="auto"/>
            <w:vAlign w:val="center"/>
          </w:tcPr>
          <w:p w14:paraId="2F6CD6BE" w14:textId="7FEF48D7" w:rsidR="00255C7D" w:rsidRPr="0032702D" w:rsidRDefault="00255C7D" w:rsidP="0032702D">
            <w:pPr>
              <w:jc w:val="center"/>
              <w:rPr>
                <w:rFonts w:asciiTheme="minorHAnsi" w:hAnsiTheme="minorHAnsi" w:cstheme="minorHAnsi"/>
                <w:bCs/>
                <w:color w:val="FF0000"/>
                <w:sz w:val="24"/>
              </w:rPr>
            </w:pPr>
            <w:r w:rsidRPr="0032702D">
              <w:rPr>
                <w:rFonts w:asciiTheme="minorHAnsi" w:hAnsiTheme="minorHAnsi" w:cstheme="minorHAnsi"/>
                <w:b/>
                <w:color w:val="FF0000"/>
                <w:sz w:val="24"/>
              </w:rPr>
              <w:t xml:space="preserve">1. </w:t>
            </w:r>
            <w:r w:rsidR="00A632FE" w:rsidRPr="0032702D">
              <w:rPr>
                <w:rFonts w:asciiTheme="minorHAnsi" w:hAnsiTheme="minorHAnsi" w:cstheme="minorHAnsi"/>
                <w:b/>
                <w:color w:val="FF0000"/>
                <w:sz w:val="24"/>
              </w:rPr>
              <w:t xml:space="preserve">Ανάσχεση των συνεπειών των φυσικών καταστροφών στη </w:t>
            </w:r>
            <w:r w:rsidRPr="0032702D">
              <w:rPr>
                <w:rFonts w:asciiTheme="minorHAnsi" w:hAnsiTheme="minorHAnsi" w:cstheme="minorHAnsi"/>
                <w:b/>
                <w:color w:val="FF0000"/>
                <w:sz w:val="24"/>
              </w:rPr>
              <w:t>Θράκη</w:t>
            </w:r>
          </w:p>
        </w:tc>
      </w:tr>
      <w:tr w:rsidR="00255C7D" w:rsidRPr="008E3678" w14:paraId="2278E358" w14:textId="77777777" w:rsidTr="000A3ADB">
        <w:trPr>
          <w:trHeight w:val="118"/>
        </w:trPr>
        <w:tc>
          <w:tcPr>
            <w:tcW w:w="2836" w:type="dxa"/>
            <w:shd w:val="clear" w:color="auto" w:fill="auto"/>
          </w:tcPr>
          <w:p w14:paraId="5E0C2502" w14:textId="77777777" w:rsidR="004E14AC" w:rsidRDefault="00255C7D" w:rsidP="000A3ADB">
            <w:pPr>
              <w:jc w:val="both"/>
              <w:rPr>
                <w:rFonts w:asciiTheme="minorHAnsi" w:hAnsiTheme="minorHAnsi" w:cstheme="minorHAnsi"/>
                <w:bCs/>
                <w:sz w:val="20"/>
                <w:szCs w:val="20"/>
              </w:rPr>
            </w:pPr>
            <w:r>
              <w:rPr>
                <w:rFonts w:asciiTheme="minorHAnsi" w:hAnsiTheme="minorHAnsi" w:cstheme="minorHAnsi"/>
                <w:bCs/>
                <w:sz w:val="20"/>
                <w:szCs w:val="20"/>
              </w:rPr>
              <w:t xml:space="preserve">Οι πρόσφατες καταστροφικές πυρκαγιές στον Έβρο, εκτός από τις εμφανείς επιπτώσεις τους, θα αναδείξουν </w:t>
            </w:r>
            <w:proofErr w:type="spellStart"/>
            <w:r>
              <w:rPr>
                <w:rFonts w:asciiTheme="minorHAnsi" w:hAnsiTheme="minorHAnsi" w:cstheme="minorHAnsi"/>
                <w:bCs/>
                <w:sz w:val="20"/>
                <w:szCs w:val="20"/>
              </w:rPr>
              <w:t>μεσο</w:t>
            </w:r>
            <w:proofErr w:type="spellEnd"/>
            <w:r>
              <w:rPr>
                <w:rFonts w:asciiTheme="minorHAnsi" w:hAnsiTheme="minorHAnsi" w:cstheme="minorHAnsi"/>
                <w:bCs/>
                <w:sz w:val="20"/>
                <w:szCs w:val="20"/>
              </w:rPr>
              <w:t>- μακροπρόθεσμα σημαντικά προβλήματα σε</w:t>
            </w:r>
            <w:r w:rsidR="004E14AC">
              <w:rPr>
                <w:rFonts w:asciiTheme="minorHAnsi" w:hAnsiTheme="minorHAnsi" w:cstheme="minorHAnsi"/>
                <w:bCs/>
                <w:sz w:val="20"/>
                <w:szCs w:val="20"/>
              </w:rPr>
              <w:t>:</w:t>
            </w:r>
          </w:p>
          <w:p w14:paraId="5107B211" w14:textId="77777777" w:rsidR="004E14AC" w:rsidRDefault="004E14AC" w:rsidP="000A3ADB">
            <w:pPr>
              <w:jc w:val="both"/>
              <w:rPr>
                <w:rFonts w:asciiTheme="minorHAnsi" w:hAnsiTheme="minorHAnsi" w:cstheme="minorHAnsi"/>
                <w:bCs/>
                <w:sz w:val="20"/>
                <w:szCs w:val="20"/>
              </w:rPr>
            </w:pPr>
          </w:p>
          <w:p w14:paraId="70D84F5F" w14:textId="77777777" w:rsidR="004E14AC" w:rsidRDefault="00255C7D" w:rsidP="004E14AC">
            <w:pPr>
              <w:pStyle w:val="ListParagraph"/>
              <w:numPr>
                <w:ilvl w:val="0"/>
                <w:numId w:val="33"/>
              </w:numPr>
              <w:ind w:left="176" w:hanging="142"/>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κοινωνικό, </w:t>
            </w:r>
          </w:p>
          <w:p w14:paraId="26EA78CC" w14:textId="77777777" w:rsidR="004E14AC" w:rsidRDefault="00255C7D" w:rsidP="004E14AC">
            <w:pPr>
              <w:pStyle w:val="ListParagraph"/>
              <w:numPr>
                <w:ilvl w:val="0"/>
                <w:numId w:val="33"/>
              </w:numPr>
              <w:ind w:left="176" w:hanging="142"/>
              <w:contextualSpacing w:val="0"/>
              <w:jc w:val="both"/>
              <w:rPr>
                <w:rFonts w:asciiTheme="minorHAnsi" w:hAnsiTheme="minorHAnsi" w:cstheme="minorHAnsi"/>
                <w:bCs/>
                <w:sz w:val="20"/>
                <w:szCs w:val="20"/>
              </w:rPr>
            </w:pPr>
            <w:r>
              <w:rPr>
                <w:rFonts w:asciiTheme="minorHAnsi" w:hAnsiTheme="minorHAnsi" w:cstheme="minorHAnsi"/>
                <w:bCs/>
                <w:sz w:val="20"/>
                <w:szCs w:val="20"/>
              </w:rPr>
              <w:t>επιχειρηματικό</w:t>
            </w:r>
            <w:r w:rsidR="004E14AC">
              <w:rPr>
                <w:rFonts w:asciiTheme="minorHAnsi" w:hAnsiTheme="minorHAnsi" w:cstheme="minorHAnsi"/>
                <w:bCs/>
                <w:sz w:val="20"/>
                <w:szCs w:val="20"/>
              </w:rPr>
              <w:t xml:space="preserve">, </w:t>
            </w:r>
            <w:r>
              <w:rPr>
                <w:rFonts w:asciiTheme="minorHAnsi" w:hAnsiTheme="minorHAnsi" w:cstheme="minorHAnsi"/>
                <w:bCs/>
                <w:sz w:val="20"/>
                <w:szCs w:val="20"/>
              </w:rPr>
              <w:t>και</w:t>
            </w:r>
            <w:r w:rsidR="004E14AC">
              <w:rPr>
                <w:rFonts w:asciiTheme="minorHAnsi" w:hAnsiTheme="minorHAnsi" w:cstheme="minorHAnsi"/>
                <w:bCs/>
                <w:sz w:val="20"/>
                <w:szCs w:val="20"/>
              </w:rPr>
              <w:t>,</w:t>
            </w:r>
          </w:p>
          <w:p w14:paraId="1AD4669C" w14:textId="77777777" w:rsidR="004E14AC" w:rsidRDefault="00255C7D" w:rsidP="004E14AC">
            <w:pPr>
              <w:pStyle w:val="ListParagraph"/>
              <w:numPr>
                <w:ilvl w:val="0"/>
                <w:numId w:val="33"/>
              </w:numPr>
              <w:ind w:left="176" w:hanging="142"/>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 περιβαλλοντικό </w:t>
            </w:r>
          </w:p>
          <w:p w14:paraId="7F1940E3" w14:textId="77777777" w:rsidR="004E14AC" w:rsidRDefault="004E14AC" w:rsidP="004E14AC">
            <w:pPr>
              <w:jc w:val="both"/>
              <w:rPr>
                <w:rFonts w:asciiTheme="minorHAnsi" w:hAnsiTheme="minorHAnsi" w:cstheme="minorHAnsi"/>
                <w:bCs/>
                <w:sz w:val="20"/>
                <w:szCs w:val="20"/>
              </w:rPr>
            </w:pPr>
          </w:p>
          <w:p w14:paraId="1DAFD534" w14:textId="3734C93F" w:rsidR="00255C7D" w:rsidRDefault="00255C7D" w:rsidP="004E14AC">
            <w:pPr>
              <w:jc w:val="both"/>
              <w:rPr>
                <w:rFonts w:asciiTheme="minorHAnsi" w:hAnsiTheme="minorHAnsi" w:cstheme="minorHAnsi"/>
                <w:bCs/>
                <w:sz w:val="20"/>
                <w:szCs w:val="20"/>
              </w:rPr>
            </w:pPr>
            <w:r w:rsidRPr="004E14AC">
              <w:rPr>
                <w:rFonts w:asciiTheme="minorHAnsi" w:hAnsiTheme="minorHAnsi" w:cstheme="minorHAnsi"/>
                <w:bCs/>
                <w:sz w:val="20"/>
                <w:szCs w:val="20"/>
              </w:rPr>
              <w:t xml:space="preserve">επίπεδο, για το σύνολο της Θράκης. </w:t>
            </w:r>
          </w:p>
          <w:p w14:paraId="7D18D39D" w14:textId="77777777" w:rsidR="004E14AC" w:rsidRDefault="004E14AC" w:rsidP="004E14AC">
            <w:pPr>
              <w:jc w:val="both"/>
              <w:rPr>
                <w:rFonts w:asciiTheme="minorHAnsi" w:hAnsiTheme="minorHAnsi" w:cstheme="minorHAnsi"/>
                <w:bCs/>
                <w:sz w:val="20"/>
                <w:szCs w:val="20"/>
              </w:rPr>
            </w:pPr>
          </w:p>
          <w:p w14:paraId="5D396570" w14:textId="6FCD960D" w:rsidR="004E14AC" w:rsidRPr="004E14AC" w:rsidRDefault="004E14AC" w:rsidP="004E14AC">
            <w:pPr>
              <w:jc w:val="both"/>
              <w:rPr>
                <w:rFonts w:asciiTheme="minorHAnsi" w:hAnsiTheme="minorHAnsi" w:cstheme="minorHAnsi"/>
                <w:bCs/>
                <w:sz w:val="20"/>
                <w:szCs w:val="20"/>
              </w:rPr>
            </w:pPr>
            <w:r>
              <w:rPr>
                <w:rFonts w:asciiTheme="minorHAnsi" w:hAnsiTheme="minorHAnsi" w:cstheme="minorHAnsi"/>
                <w:bCs/>
                <w:sz w:val="20"/>
                <w:szCs w:val="20"/>
              </w:rPr>
              <w:t xml:space="preserve">Ειδικά η μείωση του </w:t>
            </w:r>
            <w:r w:rsidR="004E2585">
              <w:rPr>
                <w:rFonts w:asciiTheme="minorHAnsi" w:hAnsiTheme="minorHAnsi" w:cstheme="minorHAnsi"/>
                <w:bCs/>
                <w:sz w:val="20"/>
                <w:szCs w:val="20"/>
              </w:rPr>
              <w:t>πρωτο</w:t>
            </w:r>
            <w:r>
              <w:rPr>
                <w:rFonts w:asciiTheme="minorHAnsi" w:hAnsiTheme="minorHAnsi" w:cstheme="minorHAnsi"/>
                <w:bCs/>
                <w:sz w:val="20"/>
                <w:szCs w:val="20"/>
              </w:rPr>
              <w:t>γενούς τομέα, μπορεί να προκαλέσει παύση λειτουργίας σε πολλές επιχειρήσεις της περιοχής</w:t>
            </w:r>
            <w:r w:rsidR="004E2585">
              <w:rPr>
                <w:rFonts w:asciiTheme="minorHAnsi" w:hAnsiTheme="minorHAnsi" w:cstheme="minorHAnsi"/>
                <w:bCs/>
                <w:sz w:val="20"/>
                <w:szCs w:val="20"/>
              </w:rPr>
              <w:t xml:space="preserve"> άμεσα</w:t>
            </w:r>
            <w:r>
              <w:rPr>
                <w:rFonts w:asciiTheme="minorHAnsi" w:hAnsiTheme="minorHAnsi" w:cstheme="minorHAnsi"/>
                <w:bCs/>
                <w:sz w:val="20"/>
                <w:szCs w:val="20"/>
              </w:rPr>
              <w:t xml:space="preserve">. </w:t>
            </w:r>
          </w:p>
          <w:p w14:paraId="536D93C0" w14:textId="65E6163C" w:rsidR="00255C7D" w:rsidRPr="004E4B8D" w:rsidRDefault="00255C7D" w:rsidP="000A3ADB">
            <w:pPr>
              <w:jc w:val="both"/>
              <w:rPr>
                <w:rFonts w:asciiTheme="minorHAnsi" w:hAnsiTheme="minorHAnsi" w:cstheme="minorHAnsi"/>
                <w:bCs/>
                <w:sz w:val="20"/>
                <w:szCs w:val="20"/>
              </w:rPr>
            </w:pPr>
          </w:p>
        </w:tc>
        <w:tc>
          <w:tcPr>
            <w:tcW w:w="3118" w:type="dxa"/>
            <w:shd w:val="clear" w:color="auto" w:fill="auto"/>
          </w:tcPr>
          <w:p w14:paraId="52EF28C4" w14:textId="2E773EB6" w:rsidR="004E14AC" w:rsidRDefault="00255C7D" w:rsidP="004E14AC">
            <w:pPr>
              <w:jc w:val="both"/>
              <w:rPr>
                <w:rFonts w:asciiTheme="minorHAnsi" w:hAnsiTheme="minorHAnsi" w:cstheme="minorHAnsi"/>
                <w:bCs/>
                <w:sz w:val="20"/>
                <w:szCs w:val="20"/>
              </w:rPr>
            </w:pPr>
            <w:r>
              <w:rPr>
                <w:rFonts w:asciiTheme="minorHAnsi" w:hAnsiTheme="minorHAnsi" w:cstheme="minorHAnsi"/>
                <w:bCs/>
                <w:sz w:val="20"/>
                <w:szCs w:val="20"/>
              </w:rPr>
              <w:t xml:space="preserve">Η ορθή αντιμετώπιση της κρίσης, θα δημιουργήσει προϋποθέσεις </w:t>
            </w:r>
            <w:r w:rsidR="004E14AC">
              <w:rPr>
                <w:rFonts w:asciiTheme="minorHAnsi" w:hAnsiTheme="minorHAnsi" w:cstheme="minorHAnsi"/>
                <w:bCs/>
                <w:sz w:val="20"/>
                <w:szCs w:val="20"/>
              </w:rPr>
              <w:t xml:space="preserve">για: </w:t>
            </w:r>
          </w:p>
          <w:p w14:paraId="0744D434" w14:textId="77777777" w:rsidR="002E1807" w:rsidRPr="004E4B8D" w:rsidRDefault="002E1807" w:rsidP="004E14AC">
            <w:pPr>
              <w:jc w:val="both"/>
              <w:rPr>
                <w:rFonts w:asciiTheme="minorHAnsi" w:hAnsiTheme="minorHAnsi" w:cstheme="minorHAnsi"/>
                <w:bCs/>
                <w:sz w:val="20"/>
                <w:szCs w:val="20"/>
              </w:rPr>
            </w:pPr>
          </w:p>
          <w:p w14:paraId="527C8AEC" w14:textId="7ED4E1A8" w:rsidR="004E14AC" w:rsidRDefault="004E14AC" w:rsidP="004E14AC">
            <w:pPr>
              <w:pStyle w:val="ListParagraph"/>
              <w:numPr>
                <w:ilvl w:val="0"/>
                <w:numId w:val="33"/>
              </w:numPr>
              <w:ind w:left="176" w:hanging="142"/>
              <w:contextualSpacing w:val="0"/>
              <w:jc w:val="both"/>
              <w:rPr>
                <w:rFonts w:asciiTheme="minorHAnsi" w:hAnsiTheme="minorHAnsi" w:cstheme="minorHAnsi"/>
                <w:bCs/>
                <w:sz w:val="20"/>
                <w:szCs w:val="20"/>
              </w:rPr>
            </w:pPr>
            <w:r w:rsidRPr="00633DF3">
              <w:rPr>
                <w:rFonts w:asciiTheme="minorHAnsi" w:hAnsiTheme="minorHAnsi" w:cstheme="minorHAnsi"/>
                <w:b/>
                <w:sz w:val="20"/>
                <w:szCs w:val="20"/>
              </w:rPr>
              <w:t>Την ανάσχεση της ερήμωσης</w:t>
            </w:r>
            <w:r>
              <w:rPr>
                <w:rFonts w:asciiTheme="minorHAnsi" w:hAnsiTheme="minorHAnsi" w:cstheme="minorHAnsi"/>
                <w:bCs/>
                <w:sz w:val="20"/>
                <w:szCs w:val="20"/>
              </w:rPr>
              <w:t xml:space="preserve"> της περιοχής, λόγω της αύξησης του κύματος αστυφιλίας.</w:t>
            </w:r>
            <w:r w:rsidR="004E2585">
              <w:rPr>
                <w:rFonts w:asciiTheme="minorHAnsi" w:hAnsiTheme="minorHAnsi" w:cstheme="minorHAnsi"/>
                <w:bCs/>
                <w:sz w:val="20"/>
                <w:szCs w:val="20"/>
              </w:rPr>
              <w:t xml:space="preserve"> Η Θράκη αποτελεί την Περιφέρεια που διαχρονικά μειώνεται ο πληθυσμός της. </w:t>
            </w:r>
          </w:p>
          <w:p w14:paraId="4A4A2533" w14:textId="41B99AE8" w:rsidR="004E14AC" w:rsidRDefault="004E14AC" w:rsidP="004E14AC">
            <w:pPr>
              <w:pStyle w:val="ListParagraph"/>
              <w:numPr>
                <w:ilvl w:val="0"/>
                <w:numId w:val="33"/>
              </w:numPr>
              <w:ind w:left="176" w:hanging="142"/>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Τη </w:t>
            </w:r>
            <w:r w:rsidRPr="00633DF3">
              <w:rPr>
                <w:rFonts w:asciiTheme="minorHAnsi" w:hAnsiTheme="minorHAnsi" w:cstheme="minorHAnsi"/>
                <w:b/>
                <w:sz w:val="20"/>
                <w:szCs w:val="20"/>
              </w:rPr>
              <w:t>συγκράτηση</w:t>
            </w:r>
            <w:r w:rsidRPr="00633DF3">
              <w:rPr>
                <w:rFonts w:asciiTheme="minorHAnsi" w:hAnsiTheme="minorHAnsi" w:cstheme="minorHAnsi"/>
                <w:bCs/>
                <w:sz w:val="20"/>
                <w:szCs w:val="20"/>
              </w:rPr>
              <w:t xml:space="preserve"> τ</w:t>
            </w:r>
            <w:r>
              <w:rPr>
                <w:rFonts w:asciiTheme="minorHAnsi" w:hAnsiTheme="minorHAnsi" w:cstheme="minorHAnsi"/>
                <w:bCs/>
                <w:sz w:val="20"/>
                <w:szCs w:val="20"/>
              </w:rPr>
              <w:t>ων κάθε είδους επιχειρήσεων με έδρα τη Θράκη.</w:t>
            </w:r>
          </w:p>
          <w:p w14:paraId="29BF847F" w14:textId="29BD4C90" w:rsidR="004E14AC" w:rsidRPr="004E4B8D" w:rsidRDefault="004E14AC" w:rsidP="004E14AC">
            <w:pPr>
              <w:pStyle w:val="ListParagraph"/>
              <w:numPr>
                <w:ilvl w:val="0"/>
                <w:numId w:val="33"/>
              </w:numPr>
              <w:ind w:left="176" w:hanging="142"/>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Τη </w:t>
            </w:r>
            <w:r w:rsidRPr="00633DF3">
              <w:rPr>
                <w:rFonts w:asciiTheme="minorHAnsi" w:hAnsiTheme="minorHAnsi" w:cstheme="minorHAnsi"/>
                <w:b/>
                <w:sz w:val="20"/>
                <w:szCs w:val="20"/>
              </w:rPr>
              <w:t>διατήρηση</w:t>
            </w:r>
            <w:r w:rsidRPr="006966CD">
              <w:rPr>
                <w:rFonts w:asciiTheme="minorHAnsi" w:hAnsiTheme="minorHAnsi" w:cstheme="minorHAnsi"/>
                <w:b/>
                <w:sz w:val="20"/>
                <w:szCs w:val="20"/>
              </w:rPr>
              <w:t xml:space="preserve"> </w:t>
            </w:r>
            <w:r>
              <w:rPr>
                <w:rFonts w:asciiTheme="minorHAnsi" w:hAnsiTheme="minorHAnsi" w:cstheme="minorHAnsi"/>
                <w:bCs/>
                <w:sz w:val="20"/>
                <w:szCs w:val="20"/>
              </w:rPr>
              <w:t xml:space="preserve">του επενδυτικού ενδιαφέροντος για την περιοχή. </w:t>
            </w:r>
          </w:p>
          <w:p w14:paraId="3D7795C7" w14:textId="334AC6FE" w:rsidR="004E14AC" w:rsidRDefault="004E14AC" w:rsidP="00255C7D">
            <w:pPr>
              <w:jc w:val="both"/>
              <w:rPr>
                <w:rFonts w:asciiTheme="minorHAnsi" w:hAnsiTheme="minorHAnsi" w:cstheme="minorHAnsi"/>
                <w:bCs/>
                <w:sz w:val="20"/>
                <w:szCs w:val="20"/>
              </w:rPr>
            </w:pPr>
          </w:p>
          <w:p w14:paraId="06B19B02" w14:textId="511D5206" w:rsidR="004E14AC" w:rsidRPr="004E2585" w:rsidRDefault="004E14AC" w:rsidP="00255C7D">
            <w:pPr>
              <w:jc w:val="both"/>
              <w:rPr>
                <w:rFonts w:asciiTheme="minorHAnsi" w:hAnsiTheme="minorHAnsi" w:cstheme="minorHAnsi"/>
                <w:b/>
                <w:sz w:val="20"/>
                <w:szCs w:val="20"/>
              </w:rPr>
            </w:pPr>
            <w:r>
              <w:rPr>
                <w:rFonts w:asciiTheme="minorHAnsi" w:hAnsiTheme="minorHAnsi" w:cstheme="minorHAnsi"/>
                <w:bCs/>
                <w:sz w:val="20"/>
                <w:szCs w:val="20"/>
              </w:rPr>
              <w:t xml:space="preserve">Σε αντίθετη περίπτωση, η περιοχή ενδέχεται </w:t>
            </w:r>
            <w:r w:rsidRPr="00633DF3">
              <w:rPr>
                <w:rFonts w:asciiTheme="minorHAnsi" w:hAnsiTheme="minorHAnsi" w:cstheme="minorHAnsi"/>
                <w:b/>
                <w:sz w:val="20"/>
                <w:szCs w:val="20"/>
              </w:rPr>
              <w:t>να μην ανακάμψει τα επόμενα χρόνια, με προφανείς αρνητικές επιπτώσεις, τόσο για τη Θράκη, όσο και για ολόκληρη τη χώρα.</w:t>
            </w:r>
            <w:r w:rsidRPr="004E2585">
              <w:rPr>
                <w:rFonts w:asciiTheme="minorHAnsi" w:hAnsiTheme="minorHAnsi" w:cstheme="minorHAnsi"/>
                <w:b/>
                <w:sz w:val="20"/>
                <w:szCs w:val="20"/>
              </w:rPr>
              <w:t xml:space="preserve"> </w:t>
            </w:r>
          </w:p>
          <w:p w14:paraId="463B958F" w14:textId="183D1BAF" w:rsidR="00255C7D" w:rsidRPr="004E14AC" w:rsidRDefault="00255C7D" w:rsidP="004E14AC">
            <w:pPr>
              <w:jc w:val="both"/>
              <w:rPr>
                <w:rFonts w:asciiTheme="minorHAnsi" w:hAnsiTheme="minorHAnsi" w:cstheme="minorHAnsi"/>
                <w:bCs/>
                <w:sz w:val="20"/>
                <w:szCs w:val="20"/>
              </w:rPr>
            </w:pPr>
          </w:p>
        </w:tc>
        <w:tc>
          <w:tcPr>
            <w:tcW w:w="4253" w:type="dxa"/>
            <w:shd w:val="clear" w:color="auto" w:fill="auto"/>
          </w:tcPr>
          <w:p w14:paraId="4D5C8560" w14:textId="292DFB98" w:rsidR="004E14AC" w:rsidRDefault="004E14AC" w:rsidP="004E14AC">
            <w:pPr>
              <w:jc w:val="both"/>
              <w:rPr>
                <w:rFonts w:asciiTheme="minorHAnsi" w:hAnsiTheme="minorHAnsi" w:cstheme="minorHAnsi"/>
                <w:bCs/>
                <w:sz w:val="20"/>
                <w:szCs w:val="20"/>
              </w:rPr>
            </w:pPr>
            <w:r>
              <w:rPr>
                <w:rFonts w:asciiTheme="minorHAnsi" w:hAnsiTheme="minorHAnsi" w:cstheme="minorHAnsi"/>
                <w:bCs/>
                <w:sz w:val="20"/>
                <w:szCs w:val="20"/>
              </w:rPr>
              <w:t xml:space="preserve">Η πολιτική των αποζημιώσεων, </w:t>
            </w:r>
            <w:r w:rsidR="00C93A70">
              <w:rPr>
                <w:rFonts w:asciiTheme="minorHAnsi" w:hAnsiTheme="minorHAnsi" w:cstheme="minorHAnsi"/>
                <w:bCs/>
                <w:sz w:val="20"/>
                <w:szCs w:val="20"/>
              </w:rPr>
              <w:t xml:space="preserve">έχει αποδειχθεί ότι δεν αποτελεί </w:t>
            </w:r>
            <w:r>
              <w:rPr>
                <w:rFonts w:asciiTheme="minorHAnsi" w:hAnsiTheme="minorHAnsi" w:cstheme="minorHAnsi"/>
                <w:bCs/>
                <w:sz w:val="20"/>
                <w:szCs w:val="20"/>
              </w:rPr>
              <w:t>αποτελεσματικό μέτρο για την ανάταξη περιοχ</w:t>
            </w:r>
            <w:r w:rsidR="00C93A70">
              <w:rPr>
                <w:rFonts w:asciiTheme="minorHAnsi" w:hAnsiTheme="minorHAnsi" w:cstheme="minorHAnsi"/>
                <w:bCs/>
                <w:sz w:val="20"/>
                <w:szCs w:val="20"/>
              </w:rPr>
              <w:t>ών που έχουν βιώσει παρόμοιου τύπου κρίσεις όπως ο Έβρος</w:t>
            </w:r>
            <w:r w:rsidR="002E1807">
              <w:rPr>
                <w:rFonts w:asciiTheme="minorHAnsi" w:hAnsiTheme="minorHAnsi" w:cstheme="minorHAnsi"/>
                <w:bCs/>
                <w:sz w:val="20"/>
                <w:szCs w:val="20"/>
              </w:rPr>
              <w:t xml:space="preserve"> και κατ’ επέκταση η Θράκη.</w:t>
            </w:r>
          </w:p>
          <w:p w14:paraId="46D00B62" w14:textId="77777777" w:rsidR="004E14AC" w:rsidRDefault="004E14AC" w:rsidP="004E14AC">
            <w:pPr>
              <w:jc w:val="both"/>
              <w:rPr>
                <w:rFonts w:asciiTheme="minorHAnsi" w:hAnsiTheme="minorHAnsi" w:cstheme="minorHAnsi"/>
                <w:bCs/>
                <w:sz w:val="20"/>
                <w:szCs w:val="20"/>
              </w:rPr>
            </w:pPr>
          </w:p>
          <w:p w14:paraId="0933F515" w14:textId="301EA6D3" w:rsidR="00C93A70" w:rsidRDefault="00C93A70" w:rsidP="004E14AC">
            <w:pPr>
              <w:jc w:val="both"/>
              <w:rPr>
                <w:rFonts w:asciiTheme="minorHAnsi" w:hAnsiTheme="minorHAnsi" w:cstheme="minorHAnsi"/>
                <w:bCs/>
                <w:sz w:val="20"/>
                <w:szCs w:val="20"/>
              </w:rPr>
            </w:pPr>
            <w:r>
              <w:rPr>
                <w:rFonts w:asciiTheme="minorHAnsi" w:hAnsiTheme="minorHAnsi" w:cstheme="minorHAnsi"/>
                <w:bCs/>
                <w:sz w:val="20"/>
                <w:szCs w:val="20"/>
              </w:rPr>
              <w:t xml:space="preserve">Ο ΣΒΕ, για την ανάκαμψη και την ανάπτυξη συνολικά της Θράκης, προτείνει την εκπόνηση </w:t>
            </w:r>
            <w:r w:rsidRPr="00633DF3">
              <w:rPr>
                <w:rFonts w:asciiTheme="minorHAnsi" w:hAnsiTheme="minorHAnsi" w:cstheme="minorHAnsi"/>
                <w:b/>
                <w:sz w:val="20"/>
                <w:szCs w:val="20"/>
              </w:rPr>
              <w:t>σε χρονικό ορίζοντα δώδεκα (12) μηνών ρεαλιστικού «</w:t>
            </w:r>
            <w:r w:rsidRPr="00633DF3">
              <w:rPr>
                <w:rFonts w:asciiTheme="minorHAnsi" w:hAnsiTheme="minorHAnsi" w:cstheme="minorHAnsi"/>
                <w:b/>
                <w:sz w:val="20"/>
                <w:szCs w:val="20"/>
                <w:lang w:val="en-US"/>
              </w:rPr>
              <w:t>master</w:t>
            </w:r>
            <w:r w:rsidRPr="00633DF3">
              <w:rPr>
                <w:rFonts w:asciiTheme="minorHAnsi" w:hAnsiTheme="minorHAnsi" w:cstheme="minorHAnsi"/>
                <w:b/>
                <w:sz w:val="20"/>
                <w:szCs w:val="20"/>
              </w:rPr>
              <w:t xml:space="preserve"> </w:t>
            </w:r>
            <w:r w:rsidRPr="00633DF3">
              <w:rPr>
                <w:rFonts w:asciiTheme="minorHAnsi" w:hAnsiTheme="minorHAnsi" w:cstheme="minorHAnsi"/>
                <w:b/>
                <w:sz w:val="20"/>
                <w:szCs w:val="20"/>
                <w:lang w:val="en-US"/>
              </w:rPr>
              <w:t>plan</w:t>
            </w:r>
            <w:r w:rsidRPr="00633DF3">
              <w:rPr>
                <w:rFonts w:asciiTheme="minorHAnsi" w:hAnsiTheme="minorHAnsi" w:cstheme="minorHAnsi"/>
                <w:b/>
                <w:sz w:val="20"/>
                <w:szCs w:val="20"/>
              </w:rPr>
              <w:t>»</w:t>
            </w:r>
            <w:r w:rsidRPr="00633DF3">
              <w:rPr>
                <w:rFonts w:asciiTheme="minorHAnsi" w:hAnsiTheme="minorHAnsi" w:cstheme="minorHAnsi"/>
                <w:bCs/>
                <w:sz w:val="20"/>
                <w:szCs w:val="20"/>
              </w:rPr>
              <w:t>, στο οποίο:</w:t>
            </w:r>
          </w:p>
          <w:p w14:paraId="224DEB5E" w14:textId="77777777" w:rsidR="00C93A70" w:rsidRDefault="00C93A70" w:rsidP="004E14AC">
            <w:pPr>
              <w:jc w:val="both"/>
              <w:rPr>
                <w:rFonts w:asciiTheme="minorHAnsi" w:hAnsiTheme="minorHAnsi" w:cstheme="minorHAnsi"/>
                <w:bCs/>
                <w:sz w:val="20"/>
                <w:szCs w:val="20"/>
              </w:rPr>
            </w:pPr>
          </w:p>
          <w:p w14:paraId="51A804AF" w14:textId="77777777" w:rsidR="00C93A70" w:rsidRDefault="00C93A70" w:rsidP="00C93A70">
            <w:pPr>
              <w:pStyle w:val="ListParagraph"/>
              <w:numPr>
                <w:ilvl w:val="0"/>
                <w:numId w:val="34"/>
              </w:numPr>
              <w:ind w:left="317" w:hanging="283"/>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Θα προδιαγραφούν </w:t>
            </w:r>
            <w:r w:rsidRPr="004E2585">
              <w:rPr>
                <w:rFonts w:asciiTheme="minorHAnsi" w:hAnsiTheme="minorHAnsi" w:cstheme="minorHAnsi"/>
                <w:b/>
                <w:sz w:val="20"/>
                <w:szCs w:val="20"/>
              </w:rPr>
              <w:t>συγκεκριμένες ενέργειες</w:t>
            </w:r>
            <w:r>
              <w:rPr>
                <w:rFonts w:asciiTheme="minorHAnsi" w:hAnsiTheme="minorHAnsi" w:cstheme="minorHAnsi"/>
                <w:bCs/>
                <w:sz w:val="20"/>
                <w:szCs w:val="20"/>
              </w:rPr>
              <w:t xml:space="preserve"> υποστήριξης για το σύνολο των τομέων της τοπικής οικονομίας. </w:t>
            </w:r>
          </w:p>
          <w:p w14:paraId="2D9BE60F" w14:textId="6504CB3F" w:rsidR="00C93A70" w:rsidRDefault="00C93A70" w:rsidP="00C93A70">
            <w:pPr>
              <w:pStyle w:val="ListParagraph"/>
              <w:numPr>
                <w:ilvl w:val="0"/>
                <w:numId w:val="34"/>
              </w:numPr>
              <w:ind w:left="317" w:hanging="283"/>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Θα δημιουργηθούν τα </w:t>
            </w:r>
            <w:r w:rsidRPr="006966CD">
              <w:rPr>
                <w:rFonts w:asciiTheme="minorHAnsi" w:hAnsiTheme="minorHAnsi" w:cstheme="minorHAnsi"/>
                <w:b/>
                <w:sz w:val="20"/>
                <w:szCs w:val="20"/>
              </w:rPr>
              <w:t>κατάλληλα χρηματοδοτικά εργαλεία</w:t>
            </w:r>
            <w:r>
              <w:rPr>
                <w:rFonts w:asciiTheme="minorHAnsi" w:hAnsiTheme="minorHAnsi" w:cstheme="minorHAnsi"/>
                <w:bCs/>
                <w:sz w:val="20"/>
                <w:szCs w:val="20"/>
              </w:rPr>
              <w:t xml:space="preserve">. </w:t>
            </w:r>
          </w:p>
          <w:p w14:paraId="45499DD4" w14:textId="643E512F" w:rsidR="00C93A70" w:rsidRPr="004E2585" w:rsidRDefault="004E2585" w:rsidP="00687229">
            <w:pPr>
              <w:pStyle w:val="ListParagraph"/>
              <w:numPr>
                <w:ilvl w:val="0"/>
                <w:numId w:val="34"/>
              </w:numPr>
              <w:ind w:left="317" w:hanging="283"/>
              <w:contextualSpacing w:val="0"/>
              <w:jc w:val="both"/>
              <w:rPr>
                <w:rFonts w:asciiTheme="minorHAnsi" w:hAnsiTheme="minorHAnsi" w:cstheme="minorHAnsi"/>
                <w:bCs/>
                <w:sz w:val="20"/>
                <w:szCs w:val="20"/>
              </w:rPr>
            </w:pPr>
            <w:r w:rsidRPr="004E2585">
              <w:rPr>
                <w:rFonts w:asciiTheme="minorHAnsi" w:hAnsiTheme="minorHAnsi" w:cstheme="minorHAnsi"/>
                <w:bCs/>
                <w:sz w:val="20"/>
                <w:szCs w:val="20"/>
              </w:rPr>
              <w:t xml:space="preserve">Θα εξασφαλισθούν </w:t>
            </w:r>
            <w:r w:rsidRPr="004E2585">
              <w:rPr>
                <w:rFonts w:asciiTheme="minorHAnsi" w:hAnsiTheme="minorHAnsi" w:cstheme="minorHAnsi"/>
                <w:b/>
                <w:sz w:val="20"/>
                <w:szCs w:val="20"/>
              </w:rPr>
              <w:t>μηχανισμοί λειτουργικών ενισχύσεων,</w:t>
            </w:r>
            <w:r w:rsidRPr="004E2585">
              <w:rPr>
                <w:rFonts w:asciiTheme="minorHAnsi" w:hAnsiTheme="minorHAnsi" w:cstheme="minorHAnsi"/>
                <w:bCs/>
                <w:sz w:val="20"/>
                <w:szCs w:val="20"/>
              </w:rPr>
              <w:t xml:space="preserve"> όπως το μεταφορικό ισοδύναμο, η επιδότηση των εργοδοτικών εισφορών, κ.λπ..</w:t>
            </w:r>
          </w:p>
          <w:p w14:paraId="29B867F5" w14:textId="4B2FADC6" w:rsidR="00255C7D" w:rsidRPr="00C93A70" w:rsidRDefault="00C93A70" w:rsidP="00C93A70">
            <w:pPr>
              <w:pStyle w:val="ListParagraph"/>
              <w:numPr>
                <w:ilvl w:val="0"/>
                <w:numId w:val="34"/>
              </w:numPr>
              <w:ind w:left="317" w:hanging="283"/>
              <w:contextualSpacing w:val="0"/>
              <w:jc w:val="both"/>
              <w:rPr>
                <w:rFonts w:asciiTheme="minorHAnsi" w:hAnsiTheme="minorHAnsi" w:cstheme="minorHAnsi"/>
                <w:bCs/>
                <w:sz w:val="20"/>
                <w:szCs w:val="20"/>
              </w:rPr>
            </w:pPr>
            <w:r>
              <w:rPr>
                <w:rFonts w:asciiTheme="minorHAnsi" w:hAnsiTheme="minorHAnsi" w:cstheme="minorHAnsi"/>
                <w:bCs/>
                <w:sz w:val="20"/>
                <w:szCs w:val="20"/>
              </w:rPr>
              <w:t xml:space="preserve">Θα προβλεφθεί το </w:t>
            </w:r>
            <w:r w:rsidRPr="004E2585">
              <w:rPr>
                <w:rFonts w:asciiTheme="minorHAnsi" w:hAnsiTheme="minorHAnsi" w:cstheme="minorHAnsi"/>
                <w:b/>
                <w:sz w:val="20"/>
                <w:szCs w:val="20"/>
              </w:rPr>
              <w:t>κατάλληλο σχήμα διακυβέρνησης</w:t>
            </w:r>
            <w:r>
              <w:rPr>
                <w:rFonts w:asciiTheme="minorHAnsi" w:hAnsiTheme="minorHAnsi" w:cstheme="minorHAnsi"/>
                <w:bCs/>
                <w:sz w:val="20"/>
                <w:szCs w:val="20"/>
              </w:rPr>
              <w:t xml:space="preserve"> του «</w:t>
            </w:r>
            <w:r>
              <w:rPr>
                <w:rFonts w:asciiTheme="minorHAnsi" w:hAnsiTheme="minorHAnsi" w:cstheme="minorHAnsi"/>
                <w:bCs/>
                <w:sz w:val="20"/>
                <w:szCs w:val="20"/>
                <w:lang w:val="en-US"/>
              </w:rPr>
              <w:t>master</w:t>
            </w:r>
            <w:r w:rsidRPr="00C93A70">
              <w:rPr>
                <w:rFonts w:asciiTheme="minorHAnsi" w:hAnsiTheme="minorHAnsi" w:cstheme="minorHAnsi"/>
                <w:bCs/>
                <w:sz w:val="20"/>
                <w:szCs w:val="20"/>
              </w:rPr>
              <w:t xml:space="preserve"> </w:t>
            </w:r>
            <w:r>
              <w:rPr>
                <w:rFonts w:asciiTheme="minorHAnsi" w:hAnsiTheme="minorHAnsi" w:cstheme="minorHAnsi"/>
                <w:bCs/>
                <w:sz w:val="20"/>
                <w:szCs w:val="20"/>
                <w:lang w:val="en-US"/>
              </w:rPr>
              <w:t>plan</w:t>
            </w:r>
            <w:r>
              <w:rPr>
                <w:rFonts w:asciiTheme="minorHAnsi" w:hAnsiTheme="minorHAnsi" w:cstheme="minorHAnsi"/>
                <w:bCs/>
                <w:sz w:val="20"/>
                <w:szCs w:val="20"/>
              </w:rPr>
              <w:t xml:space="preserve">» για τη Θράκη. </w:t>
            </w:r>
          </w:p>
        </w:tc>
      </w:tr>
    </w:tbl>
    <w:p w14:paraId="3C21BB16" w14:textId="77777777" w:rsidR="00390DC9" w:rsidRDefault="00390DC9">
      <w:r>
        <w:br w:type="page"/>
      </w:r>
    </w:p>
    <w:tbl>
      <w:tblPr>
        <w:tblStyle w:val="TableGrid"/>
        <w:tblW w:w="10207" w:type="dxa"/>
        <w:tblInd w:w="-289" w:type="dxa"/>
        <w:tblLook w:val="04A0" w:firstRow="1" w:lastRow="0" w:firstColumn="1" w:lastColumn="0" w:noHBand="0" w:noVBand="1"/>
      </w:tblPr>
      <w:tblGrid>
        <w:gridCol w:w="2836"/>
        <w:gridCol w:w="3118"/>
        <w:gridCol w:w="4253"/>
      </w:tblGrid>
      <w:tr w:rsidR="00390DC9" w:rsidRPr="008E3678" w14:paraId="171D5A77" w14:textId="77777777" w:rsidTr="00EC598C">
        <w:trPr>
          <w:trHeight w:val="119"/>
          <w:tblHeader/>
        </w:trPr>
        <w:tc>
          <w:tcPr>
            <w:tcW w:w="2836" w:type="dxa"/>
            <w:shd w:val="clear" w:color="auto" w:fill="D9D9D9" w:themeFill="background1" w:themeFillShade="D9"/>
          </w:tcPr>
          <w:p w14:paraId="5D92F358"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lastRenderedPageBreak/>
              <w:t>Διαπίστωση</w:t>
            </w:r>
          </w:p>
        </w:tc>
        <w:tc>
          <w:tcPr>
            <w:tcW w:w="3118" w:type="dxa"/>
            <w:shd w:val="clear" w:color="auto" w:fill="D9D9D9" w:themeFill="background1" w:themeFillShade="D9"/>
          </w:tcPr>
          <w:p w14:paraId="698E6ACE"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Προκλήσεις</w:t>
            </w:r>
          </w:p>
        </w:tc>
        <w:tc>
          <w:tcPr>
            <w:tcW w:w="4253" w:type="dxa"/>
            <w:shd w:val="clear" w:color="auto" w:fill="D9D9D9" w:themeFill="background1" w:themeFillShade="D9"/>
          </w:tcPr>
          <w:p w14:paraId="17A459FF"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Προτάσεις επίλυσης του προβλήματος</w:t>
            </w:r>
          </w:p>
        </w:tc>
      </w:tr>
      <w:tr w:rsidR="0032702D" w:rsidRPr="0032702D" w14:paraId="7C02BE42" w14:textId="77777777" w:rsidTr="00390DC9">
        <w:trPr>
          <w:trHeight w:val="397"/>
        </w:trPr>
        <w:tc>
          <w:tcPr>
            <w:tcW w:w="10207" w:type="dxa"/>
            <w:gridSpan w:val="3"/>
            <w:shd w:val="clear" w:color="auto" w:fill="auto"/>
            <w:vAlign w:val="center"/>
          </w:tcPr>
          <w:p w14:paraId="217AB872" w14:textId="0B0AE5E2" w:rsidR="00121AA7" w:rsidRPr="0032702D" w:rsidRDefault="00C93A70" w:rsidP="0032702D">
            <w:pPr>
              <w:jc w:val="center"/>
              <w:rPr>
                <w:rFonts w:asciiTheme="minorHAnsi" w:hAnsiTheme="minorHAnsi" w:cstheme="minorHAnsi"/>
                <w:bCs/>
                <w:color w:val="FF0000"/>
                <w:sz w:val="24"/>
              </w:rPr>
            </w:pPr>
            <w:r w:rsidRPr="0032702D">
              <w:rPr>
                <w:rFonts w:asciiTheme="minorHAnsi" w:hAnsiTheme="minorHAnsi" w:cstheme="minorHAnsi"/>
                <w:b/>
                <w:color w:val="FF0000"/>
                <w:sz w:val="24"/>
              </w:rPr>
              <w:t>2</w:t>
            </w:r>
            <w:r w:rsidR="00121AA7" w:rsidRPr="0032702D">
              <w:rPr>
                <w:rFonts w:asciiTheme="minorHAnsi" w:hAnsiTheme="minorHAnsi" w:cstheme="minorHAnsi"/>
                <w:b/>
                <w:color w:val="FF0000"/>
                <w:sz w:val="24"/>
              </w:rPr>
              <w:t>. Αδυναμία Εξεύρεσης Προσωπικού</w:t>
            </w:r>
          </w:p>
        </w:tc>
      </w:tr>
      <w:tr w:rsidR="00121AA7" w:rsidRPr="008E3678" w14:paraId="3715DB84" w14:textId="77777777" w:rsidTr="00121AA7">
        <w:trPr>
          <w:trHeight w:val="118"/>
        </w:trPr>
        <w:tc>
          <w:tcPr>
            <w:tcW w:w="2836" w:type="dxa"/>
            <w:shd w:val="clear" w:color="auto" w:fill="auto"/>
          </w:tcPr>
          <w:p w14:paraId="1049E9CF"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Κορυφαίο πρόβλημα για την απρόσκοπτη λειτουργία της βιομηχανίας, το οποίο μάλιστα επιδεινώθηκε μετά την υγειονομική κρίση, είναι η </w:t>
            </w:r>
            <w:r w:rsidRPr="00633DF3">
              <w:rPr>
                <w:rFonts w:asciiTheme="minorHAnsi" w:hAnsiTheme="minorHAnsi" w:cstheme="minorHAnsi"/>
                <w:b/>
                <w:sz w:val="20"/>
                <w:szCs w:val="20"/>
              </w:rPr>
              <w:t>αδυναμία εξεύρεσης προσωπικού.</w:t>
            </w:r>
          </w:p>
          <w:p w14:paraId="28B90F48"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Το συγκεκριμένο φαινόμενο είναι ιδιαίτερα έντονο σε όλη τη χώρα και ειδικά στην Περιφέρεια</w:t>
            </w:r>
            <w:r>
              <w:rPr>
                <w:rFonts w:asciiTheme="minorHAnsi" w:hAnsiTheme="minorHAnsi" w:cstheme="minorHAnsi"/>
                <w:bCs/>
                <w:sz w:val="20"/>
                <w:szCs w:val="20"/>
              </w:rPr>
              <w:t xml:space="preserve">, που αντιμετωπίζει σοβαρό </w:t>
            </w:r>
            <w:r w:rsidRPr="00633DF3">
              <w:rPr>
                <w:rFonts w:asciiTheme="minorHAnsi" w:hAnsiTheme="minorHAnsi" w:cstheme="minorHAnsi"/>
                <w:bCs/>
                <w:sz w:val="20"/>
                <w:szCs w:val="20"/>
              </w:rPr>
              <w:t>δημογραφικό πρόβλημα.</w:t>
            </w:r>
          </w:p>
          <w:p w14:paraId="3C1F2B8E"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Η επίλυση του προβλήματος θα συμβάλλει στην εκπλήρωση του </w:t>
            </w:r>
            <w:r w:rsidRPr="00633DF3">
              <w:rPr>
                <w:rFonts w:asciiTheme="minorHAnsi" w:hAnsiTheme="minorHAnsi" w:cstheme="minorHAnsi"/>
                <w:bCs/>
                <w:sz w:val="20"/>
                <w:szCs w:val="20"/>
              </w:rPr>
              <w:t>στόχου μείωσης της ανεργίας κάτω από το 10% έως το 2027.</w:t>
            </w:r>
          </w:p>
        </w:tc>
        <w:tc>
          <w:tcPr>
            <w:tcW w:w="3118" w:type="dxa"/>
            <w:shd w:val="clear" w:color="auto" w:fill="auto"/>
          </w:tcPr>
          <w:p w14:paraId="12D6BD95"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Η μεγάλη πρόκληση για την κάλυψη του ελλείμματος της βιομηχανίας σε εργαζόμενους με «τεχνικές» δεξιότητες, είναι η ορθή διάρθρωση και η εύρυθμη λειτουργία της αγοράς εργασίας, λαμβάνοντας υπόψη: </w:t>
            </w:r>
          </w:p>
          <w:p w14:paraId="0061639D"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Την αλλαγή των προτύπων απασχόλησης. </w:t>
            </w:r>
          </w:p>
          <w:p w14:paraId="33373E06"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Το υψηλό ποσοστό ανεργίας.</w:t>
            </w:r>
          </w:p>
          <w:p w14:paraId="69534AAA"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Τη μόνιμη εργασιακή αβεβαιότητα.</w:t>
            </w:r>
          </w:p>
          <w:p w14:paraId="3B6445DB"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Τα κοινωνικά προβλήματα που συνδέονται από την ανεργία των νέων και από την ύπαρξη μακροχρόνια ανέργων, και,</w:t>
            </w:r>
          </w:p>
          <w:p w14:paraId="10D8C432"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Την πρόκληση της γήρανσης του πληθυσμού.</w:t>
            </w:r>
          </w:p>
        </w:tc>
        <w:tc>
          <w:tcPr>
            <w:tcW w:w="4253" w:type="dxa"/>
            <w:shd w:val="clear" w:color="auto" w:fill="auto"/>
          </w:tcPr>
          <w:p w14:paraId="66EB5946"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Αξιολόγηση της αποτελεσματικότητας του «Εθνικού Συστήματος Επαγγελματικής Εκπαίδευσης και Κατάρτισης».</w:t>
            </w:r>
          </w:p>
          <w:p w14:paraId="6DCCCB96"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Ορθή διασύνδεση της τεχνικής εκπαίδευσης με την αγορά εργασίας.</w:t>
            </w:r>
          </w:p>
          <w:p w14:paraId="64AB2EAE"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Θέσπιση της υποχρεωτικότητας και της (τουλάχιστον) εξάμηνης «πρακτικής άσκησης» για τους συμμετέχοντες στην «τεχνική εκπαίδευση».</w:t>
            </w:r>
          </w:p>
          <w:p w14:paraId="162AA65A"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Σχεδιασμός και υλοποίηση προγραμμάτων εκπαίδευσης για τους κλάδους «STEM».</w:t>
            </w:r>
          </w:p>
          <w:p w14:paraId="7D3C75B3"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Χρηματοδότηση τεχνικής επαγγελματικής εκπαίδευσης και κατάρτισης από φορείς του ιδιωτικού τομέα.</w:t>
            </w:r>
          </w:p>
          <w:p w14:paraId="137C5E46"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Ειδικά προγράμματα και θεσμοθέτηση κινήτρων για την ανάσχεση του κύματος αστυφιλίας των τελευταίων ετών.</w:t>
            </w:r>
          </w:p>
          <w:p w14:paraId="25395BDA"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Νομοθετικές πρωτοβουλίες και δημιουργία σύγχρονου πλαισίου, ούτως ώστε:</w:t>
            </w:r>
          </w:p>
          <w:p w14:paraId="24858B6B" w14:textId="77777777" w:rsidR="00121AA7" w:rsidRPr="004E4B8D" w:rsidRDefault="00121AA7" w:rsidP="00121AA7">
            <w:pPr>
              <w:pStyle w:val="ListParagraph"/>
              <w:numPr>
                <w:ilvl w:val="0"/>
                <w:numId w:val="35"/>
              </w:numPr>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να δοθεί η δυνατότητα σε πρόσφυγες και μετανάστες να απασχοληθούν στη βιομηχανία, και, </w:t>
            </w:r>
          </w:p>
          <w:p w14:paraId="32425DD1" w14:textId="77777777" w:rsidR="00121AA7" w:rsidRPr="004E4B8D" w:rsidRDefault="00121AA7" w:rsidP="00121AA7">
            <w:pPr>
              <w:pStyle w:val="ListParagraph"/>
              <w:numPr>
                <w:ilvl w:val="0"/>
                <w:numId w:val="35"/>
              </w:numPr>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για την πρόσκληση για απασχόληση αλλοδαπών εργαζομένων στη βιομηχανία.</w:t>
            </w:r>
          </w:p>
        </w:tc>
      </w:tr>
      <w:tr w:rsidR="0032702D" w:rsidRPr="0032702D" w14:paraId="1351099D" w14:textId="77777777" w:rsidTr="00390DC9">
        <w:trPr>
          <w:trHeight w:val="397"/>
          <w:tblHeader/>
        </w:trPr>
        <w:tc>
          <w:tcPr>
            <w:tcW w:w="10207" w:type="dxa"/>
            <w:gridSpan w:val="3"/>
            <w:shd w:val="clear" w:color="auto" w:fill="FFFFFF" w:themeFill="background1"/>
            <w:vAlign w:val="center"/>
          </w:tcPr>
          <w:p w14:paraId="5C932075" w14:textId="5EA14668" w:rsidR="00121AA7" w:rsidRPr="0032702D" w:rsidRDefault="00C93A70" w:rsidP="0032702D">
            <w:pPr>
              <w:jc w:val="center"/>
              <w:rPr>
                <w:rFonts w:asciiTheme="minorHAnsi" w:hAnsiTheme="minorHAnsi" w:cstheme="minorHAnsi"/>
                <w:b/>
                <w:color w:val="FF0000"/>
                <w:sz w:val="24"/>
              </w:rPr>
            </w:pPr>
            <w:r w:rsidRPr="0032702D">
              <w:rPr>
                <w:rFonts w:asciiTheme="minorHAnsi" w:hAnsiTheme="minorHAnsi" w:cstheme="minorHAnsi"/>
                <w:b/>
                <w:color w:val="FF0000"/>
                <w:sz w:val="24"/>
              </w:rPr>
              <w:t>3</w:t>
            </w:r>
            <w:r w:rsidR="00121AA7" w:rsidRPr="0032702D">
              <w:rPr>
                <w:rFonts w:asciiTheme="minorHAnsi" w:hAnsiTheme="minorHAnsi" w:cstheme="minorHAnsi"/>
                <w:b/>
                <w:color w:val="FF0000"/>
                <w:sz w:val="24"/>
              </w:rPr>
              <w:t>. Υποδομές</w:t>
            </w:r>
          </w:p>
        </w:tc>
      </w:tr>
      <w:tr w:rsidR="00121AA7" w:rsidRPr="008E3678" w14:paraId="375B0E4F" w14:textId="77777777" w:rsidTr="00121AA7">
        <w:trPr>
          <w:trHeight w:val="118"/>
        </w:trPr>
        <w:tc>
          <w:tcPr>
            <w:tcW w:w="2836" w:type="dxa"/>
            <w:shd w:val="clear" w:color="auto" w:fill="auto"/>
          </w:tcPr>
          <w:p w14:paraId="26EA8F19"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Οι </w:t>
            </w:r>
            <w:r w:rsidRPr="00633DF3">
              <w:rPr>
                <w:rFonts w:asciiTheme="minorHAnsi" w:hAnsiTheme="minorHAnsi" w:cstheme="minorHAnsi"/>
                <w:b/>
                <w:sz w:val="20"/>
                <w:szCs w:val="20"/>
              </w:rPr>
              <w:t>υποδομές</w:t>
            </w:r>
            <w:r w:rsidRPr="004E4B8D">
              <w:rPr>
                <w:rFonts w:asciiTheme="minorHAnsi" w:hAnsiTheme="minorHAnsi" w:cstheme="minorHAnsi"/>
                <w:bCs/>
                <w:sz w:val="20"/>
                <w:szCs w:val="20"/>
              </w:rPr>
              <w:t xml:space="preserve"> επηρεάζουν την οικονομική ανάπτυξη και τη διεθνή ανταγωνιστικότητα μιας χώρας, ενώ είναι ένας από τους πλέον σημαντικούς παράγοντες υλοποίησης και προσέλκυσης επενδύσεων.</w:t>
            </w:r>
          </w:p>
          <w:p w14:paraId="4F096AFD"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Η βελτίωση των υποδομών στη χώρα θα εισφέρει θετικά στην επίτευξη του στόχου της Κυβέρνησης για μέση ετήσια ανάπτυξη 3% έως το 2027. </w:t>
            </w:r>
          </w:p>
        </w:tc>
        <w:tc>
          <w:tcPr>
            <w:tcW w:w="3118" w:type="dxa"/>
            <w:shd w:val="clear" w:color="auto" w:fill="auto"/>
          </w:tcPr>
          <w:p w14:paraId="375A3B56"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Η ύπαρξη και ορθή λειτουργία δικτύων:</w:t>
            </w:r>
          </w:p>
          <w:p w14:paraId="5B3891D2" w14:textId="77777777" w:rsidR="00121AA7" w:rsidRPr="00633DF3" w:rsidRDefault="00121AA7" w:rsidP="00121AA7">
            <w:pPr>
              <w:pStyle w:val="ListParagraph"/>
              <w:numPr>
                <w:ilvl w:val="0"/>
                <w:numId w:val="33"/>
              </w:numPr>
              <w:ind w:left="318" w:hanging="284"/>
              <w:contextualSpacing w:val="0"/>
              <w:jc w:val="both"/>
              <w:rPr>
                <w:rFonts w:asciiTheme="minorHAnsi" w:hAnsiTheme="minorHAnsi" w:cstheme="minorHAnsi"/>
                <w:bCs/>
                <w:sz w:val="20"/>
                <w:szCs w:val="20"/>
              </w:rPr>
            </w:pPr>
            <w:r w:rsidRPr="00633DF3">
              <w:rPr>
                <w:rFonts w:asciiTheme="minorHAnsi" w:hAnsiTheme="minorHAnsi" w:cstheme="minorHAnsi"/>
                <w:bCs/>
                <w:sz w:val="20"/>
                <w:szCs w:val="20"/>
              </w:rPr>
              <w:t>Ενέργειας.</w:t>
            </w:r>
          </w:p>
          <w:p w14:paraId="243F0C2B" w14:textId="77777777" w:rsidR="00121AA7" w:rsidRPr="00633DF3" w:rsidRDefault="00121AA7" w:rsidP="00121AA7">
            <w:pPr>
              <w:pStyle w:val="ListParagraph"/>
              <w:numPr>
                <w:ilvl w:val="0"/>
                <w:numId w:val="33"/>
              </w:numPr>
              <w:ind w:left="318" w:hanging="284"/>
              <w:contextualSpacing w:val="0"/>
              <w:jc w:val="both"/>
              <w:rPr>
                <w:rFonts w:asciiTheme="minorHAnsi" w:hAnsiTheme="minorHAnsi" w:cstheme="minorHAnsi"/>
                <w:bCs/>
                <w:sz w:val="20"/>
                <w:szCs w:val="20"/>
              </w:rPr>
            </w:pPr>
            <w:r w:rsidRPr="00633DF3">
              <w:rPr>
                <w:rFonts w:asciiTheme="minorHAnsi" w:hAnsiTheme="minorHAnsi" w:cstheme="minorHAnsi"/>
                <w:bCs/>
                <w:sz w:val="20"/>
                <w:szCs w:val="20"/>
              </w:rPr>
              <w:t xml:space="preserve">Τηλεπικοινωνιών, και, </w:t>
            </w:r>
          </w:p>
          <w:p w14:paraId="21C29029" w14:textId="77777777" w:rsidR="00121AA7" w:rsidRPr="00633DF3" w:rsidRDefault="00121AA7" w:rsidP="00121AA7">
            <w:pPr>
              <w:pStyle w:val="ListParagraph"/>
              <w:numPr>
                <w:ilvl w:val="0"/>
                <w:numId w:val="33"/>
              </w:numPr>
              <w:ind w:left="318" w:hanging="284"/>
              <w:contextualSpacing w:val="0"/>
              <w:jc w:val="both"/>
              <w:rPr>
                <w:rFonts w:asciiTheme="minorHAnsi" w:hAnsiTheme="minorHAnsi" w:cstheme="minorHAnsi"/>
                <w:bCs/>
                <w:sz w:val="20"/>
                <w:szCs w:val="20"/>
              </w:rPr>
            </w:pPr>
            <w:r w:rsidRPr="00633DF3">
              <w:rPr>
                <w:rFonts w:asciiTheme="minorHAnsi" w:hAnsiTheme="minorHAnsi" w:cstheme="minorHAnsi"/>
                <w:bCs/>
                <w:sz w:val="20"/>
                <w:szCs w:val="20"/>
              </w:rPr>
              <w:t>Συνδυασμένων μεταφορών,</w:t>
            </w:r>
          </w:p>
          <w:p w14:paraId="402133C2" w14:textId="77777777" w:rsidR="00121AA7" w:rsidRPr="004E4B8D" w:rsidRDefault="00121AA7" w:rsidP="00297EE1">
            <w:pPr>
              <w:jc w:val="both"/>
              <w:rPr>
                <w:rFonts w:asciiTheme="minorHAnsi" w:hAnsiTheme="minorHAnsi" w:cstheme="minorHAnsi"/>
                <w:bCs/>
                <w:sz w:val="20"/>
                <w:szCs w:val="20"/>
              </w:rPr>
            </w:pPr>
          </w:p>
          <w:p w14:paraId="54CB8286"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είναι παράγοντες καθοριστικής σημασίας για την απρόσκοπτη και εύρυθμη λειτουργία κάθε είδους επιχειρήσεων.</w:t>
            </w:r>
          </w:p>
          <w:p w14:paraId="1E5B41D9" w14:textId="77777777" w:rsidR="00121AA7" w:rsidRPr="004E4B8D" w:rsidRDefault="00121AA7" w:rsidP="00297EE1">
            <w:pPr>
              <w:jc w:val="both"/>
              <w:rPr>
                <w:rFonts w:asciiTheme="minorHAnsi" w:hAnsiTheme="minorHAnsi" w:cstheme="minorHAnsi"/>
                <w:bCs/>
                <w:sz w:val="20"/>
                <w:szCs w:val="20"/>
              </w:rPr>
            </w:pPr>
          </w:p>
          <w:p w14:paraId="2DF9DC47" w14:textId="0BB95DEA" w:rsidR="00121AA7" w:rsidRPr="004E4B8D" w:rsidRDefault="00121AA7" w:rsidP="00297EE1">
            <w:pPr>
              <w:jc w:val="both"/>
              <w:rPr>
                <w:rFonts w:asciiTheme="minorHAnsi" w:hAnsiTheme="minorHAnsi" w:cstheme="minorHAnsi"/>
                <w:bCs/>
                <w:sz w:val="20"/>
                <w:szCs w:val="20"/>
              </w:rPr>
            </w:pPr>
            <w:r>
              <w:rPr>
                <w:rFonts w:asciiTheme="minorHAnsi" w:hAnsiTheme="minorHAnsi" w:cstheme="minorHAnsi"/>
                <w:bCs/>
                <w:sz w:val="20"/>
                <w:szCs w:val="20"/>
              </w:rPr>
              <w:t xml:space="preserve">Ειδικά </w:t>
            </w:r>
            <w:r w:rsidRPr="004E4B8D">
              <w:rPr>
                <w:rFonts w:asciiTheme="minorHAnsi" w:hAnsiTheme="minorHAnsi" w:cstheme="minorHAnsi"/>
                <w:bCs/>
                <w:sz w:val="20"/>
                <w:szCs w:val="20"/>
              </w:rPr>
              <w:t xml:space="preserve">στην Ελληνική περιφέρεια, </w:t>
            </w:r>
            <w:r w:rsidR="006966CD">
              <w:rPr>
                <w:rFonts w:asciiTheme="minorHAnsi" w:hAnsiTheme="minorHAnsi" w:cstheme="minorHAnsi"/>
                <w:bCs/>
                <w:sz w:val="20"/>
                <w:szCs w:val="20"/>
              </w:rPr>
              <w:t xml:space="preserve">και ιδιαίτερα στην Ήπειρο και στη Θράκη, </w:t>
            </w:r>
            <w:r w:rsidRPr="004E4B8D">
              <w:rPr>
                <w:rFonts w:asciiTheme="minorHAnsi" w:hAnsiTheme="minorHAnsi" w:cstheme="minorHAnsi"/>
                <w:bCs/>
                <w:sz w:val="20"/>
                <w:szCs w:val="20"/>
              </w:rPr>
              <w:t>διαπιστώνεται τεράστια έλλειψη σε αναγκαίες υποδομές που να λειτουργούν υποστηρικτικά για την επιχειρηματικότητα.</w:t>
            </w:r>
            <w:r>
              <w:rPr>
                <w:rFonts w:asciiTheme="minorHAnsi" w:hAnsiTheme="minorHAnsi" w:cstheme="minorHAnsi"/>
                <w:bCs/>
                <w:sz w:val="20"/>
                <w:szCs w:val="20"/>
              </w:rPr>
              <w:t xml:space="preserve"> Επιπρόσθετα, η </w:t>
            </w:r>
            <w:r w:rsidRPr="00633DF3">
              <w:rPr>
                <w:rFonts w:asciiTheme="minorHAnsi" w:hAnsiTheme="minorHAnsi" w:cstheme="minorHAnsi"/>
                <w:bCs/>
                <w:sz w:val="20"/>
                <w:szCs w:val="20"/>
              </w:rPr>
              <w:t>κακή ποιότητα των δικτύων και του ηλεκτρικού ρεύματος (βυθίσεις</w:t>
            </w:r>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διακοψ</w:t>
            </w:r>
            <w:r w:rsidR="006966CD">
              <w:rPr>
                <w:rFonts w:asciiTheme="minorHAnsi" w:hAnsiTheme="minorHAnsi" w:cstheme="minorHAnsi"/>
                <w:bCs/>
                <w:sz w:val="20"/>
                <w:szCs w:val="20"/>
              </w:rPr>
              <w:t>ι</w:t>
            </w:r>
            <w:r>
              <w:rPr>
                <w:rFonts w:asciiTheme="minorHAnsi" w:hAnsiTheme="minorHAnsi" w:cstheme="minorHAnsi"/>
                <w:bCs/>
                <w:sz w:val="20"/>
                <w:szCs w:val="20"/>
              </w:rPr>
              <w:t>μότητα</w:t>
            </w:r>
            <w:proofErr w:type="spellEnd"/>
            <w:r>
              <w:rPr>
                <w:rFonts w:asciiTheme="minorHAnsi" w:hAnsiTheme="minorHAnsi" w:cstheme="minorHAnsi"/>
                <w:bCs/>
                <w:sz w:val="20"/>
                <w:szCs w:val="20"/>
              </w:rPr>
              <w:t>) αποτελούν μόνιμο πρόβλημα.</w:t>
            </w:r>
          </w:p>
        </w:tc>
        <w:tc>
          <w:tcPr>
            <w:tcW w:w="4253" w:type="dxa"/>
            <w:shd w:val="clear" w:color="auto" w:fill="auto"/>
          </w:tcPr>
          <w:p w14:paraId="65845D57"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Ενίσχυση της «χωρητικότητας» του δικτύου μεταφοράς ηλεκτρικής ενέργειας.</w:t>
            </w:r>
          </w:p>
          <w:p w14:paraId="21FDD2BC"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Αναβάθμιση υποδομών </w:t>
            </w:r>
            <w:r w:rsidRPr="004E4B8D">
              <w:rPr>
                <w:rFonts w:asciiTheme="minorHAnsi" w:hAnsiTheme="minorHAnsi" w:cstheme="minorHAnsi"/>
                <w:bCs/>
                <w:sz w:val="20"/>
                <w:szCs w:val="20"/>
                <w:lang w:val="en-US"/>
              </w:rPr>
              <w:t>internet</w:t>
            </w:r>
            <w:r w:rsidRPr="004E4B8D">
              <w:rPr>
                <w:rFonts w:asciiTheme="minorHAnsi" w:hAnsiTheme="minorHAnsi" w:cstheme="minorHAnsi"/>
                <w:bCs/>
                <w:sz w:val="20"/>
                <w:szCs w:val="20"/>
              </w:rPr>
              <w:t xml:space="preserve"> «υψηλών ταχυτήτων», ειδικά σε περιοχές βιομηχανικής συγκέντρωσης.</w:t>
            </w:r>
          </w:p>
          <w:p w14:paraId="0A647C30" w14:textId="4BFCEDC4" w:rsidR="006966CD" w:rsidRDefault="006966CD"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sz w:val="20"/>
                <w:szCs w:val="20"/>
              </w:rPr>
              <w:t xml:space="preserve">Αναβάθμιση των υποδομών και του εξοπλισμού λειτουργίας </w:t>
            </w:r>
            <w:r w:rsidRPr="00633DF3">
              <w:rPr>
                <w:rFonts w:asciiTheme="minorHAnsi" w:hAnsiTheme="minorHAnsi" w:cstheme="minorHAnsi"/>
                <w:sz w:val="20"/>
                <w:szCs w:val="20"/>
              </w:rPr>
              <w:t>των λιμανιών της Πρέβεζας και της Αλεξανδρούπολης,</w:t>
            </w:r>
            <w:r w:rsidRPr="004E4B8D">
              <w:rPr>
                <w:rFonts w:asciiTheme="minorHAnsi" w:hAnsiTheme="minorHAnsi" w:cstheme="minorHAnsi"/>
                <w:sz w:val="20"/>
                <w:szCs w:val="20"/>
              </w:rPr>
              <w:t xml:space="preserve"> για την ορθή εξυπηρέτηση των βιομηχανιών της Ηπείρου και της Θράκης και για τη διευκόλυνση των εμπορευματικών μεταφορών.</w:t>
            </w:r>
          </w:p>
          <w:p w14:paraId="4FEC7A83"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Ειδικά για τη Θεσσαλονίκη:</w:t>
            </w:r>
          </w:p>
          <w:p w14:paraId="3E24C171" w14:textId="77777777" w:rsidR="00121AA7" w:rsidRPr="004E4B8D" w:rsidRDefault="00121AA7" w:rsidP="00121AA7">
            <w:pPr>
              <w:pStyle w:val="ListParagraph"/>
              <w:numPr>
                <w:ilvl w:val="0"/>
                <w:numId w:val="36"/>
              </w:numPr>
              <w:ind w:left="601" w:hanging="284"/>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επιτάχυνση των </w:t>
            </w:r>
            <w:r w:rsidRPr="00633DF3">
              <w:rPr>
                <w:rFonts w:asciiTheme="minorHAnsi" w:hAnsiTheme="minorHAnsi" w:cstheme="minorHAnsi"/>
                <w:bCs/>
                <w:sz w:val="20"/>
                <w:szCs w:val="20"/>
              </w:rPr>
              <w:t>διαδικασιών ανάπλασης του εκθεσιακού κέντρου της ΔΕΘ,</w:t>
            </w:r>
            <w:r w:rsidRPr="004E4B8D">
              <w:rPr>
                <w:rFonts w:asciiTheme="minorHAnsi" w:hAnsiTheme="minorHAnsi" w:cstheme="minorHAnsi"/>
                <w:bCs/>
                <w:sz w:val="20"/>
                <w:szCs w:val="20"/>
              </w:rPr>
              <w:t xml:space="preserve"> </w:t>
            </w:r>
          </w:p>
          <w:p w14:paraId="231DDB54" w14:textId="77777777" w:rsidR="00121AA7" w:rsidRPr="004E4B8D" w:rsidRDefault="00121AA7" w:rsidP="00121AA7">
            <w:pPr>
              <w:pStyle w:val="ListParagraph"/>
              <w:numPr>
                <w:ilvl w:val="0"/>
                <w:numId w:val="36"/>
              </w:numPr>
              <w:ind w:left="601" w:hanging="284"/>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έκδοση του Προεδρικού Διατάγματος για την έναρξη των έργων </w:t>
            </w:r>
            <w:r w:rsidRPr="00633DF3">
              <w:rPr>
                <w:rFonts w:asciiTheme="minorHAnsi" w:hAnsiTheme="minorHAnsi" w:cstheme="minorHAnsi"/>
                <w:bCs/>
                <w:sz w:val="20"/>
                <w:szCs w:val="20"/>
              </w:rPr>
              <w:t>επέκτασης του προβλήτα 6 του λιμένα της Θεσσαλονίκης</w:t>
            </w:r>
            <w:r w:rsidRPr="004E4B8D">
              <w:rPr>
                <w:rFonts w:asciiTheme="minorHAnsi" w:hAnsiTheme="minorHAnsi" w:cstheme="minorHAnsi"/>
                <w:bCs/>
                <w:sz w:val="20"/>
                <w:szCs w:val="20"/>
              </w:rPr>
              <w:t>, και,</w:t>
            </w:r>
          </w:p>
          <w:p w14:paraId="4B73DFBC" w14:textId="77777777" w:rsidR="00121AA7" w:rsidRPr="004E4B8D" w:rsidRDefault="00121AA7" w:rsidP="00121AA7">
            <w:pPr>
              <w:pStyle w:val="ListParagraph"/>
              <w:numPr>
                <w:ilvl w:val="0"/>
                <w:numId w:val="36"/>
              </w:numPr>
              <w:ind w:left="601" w:hanging="284"/>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ολοκλήρωση νομικών διαδικασιών για την υλοποίηση του </w:t>
            </w:r>
            <w:r w:rsidRPr="00633DF3">
              <w:rPr>
                <w:rFonts w:asciiTheme="minorHAnsi" w:hAnsiTheme="minorHAnsi" w:cstheme="minorHAnsi"/>
                <w:bCs/>
                <w:sz w:val="20"/>
                <w:szCs w:val="20"/>
              </w:rPr>
              <w:t xml:space="preserve">έργου </w:t>
            </w:r>
            <w:r w:rsidRPr="00633DF3">
              <w:rPr>
                <w:rFonts w:asciiTheme="minorHAnsi" w:hAnsiTheme="minorHAnsi" w:cstheme="minorHAnsi"/>
                <w:bCs/>
                <w:sz w:val="20"/>
                <w:szCs w:val="20"/>
                <w:lang w:val="en-US"/>
              </w:rPr>
              <w:t>Thess</w:t>
            </w:r>
            <w:r w:rsidRPr="00633DF3">
              <w:rPr>
                <w:rFonts w:asciiTheme="minorHAnsi" w:hAnsiTheme="minorHAnsi" w:cstheme="minorHAnsi"/>
                <w:bCs/>
                <w:sz w:val="20"/>
                <w:szCs w:val="20"/>
              </w:rPr>
              <w:t xml:space="preserve"> </w:t>
            </w:r>
            <w:r w:rsidRPr="00633DF3">
              <w:rPr>
                <w:rFonts w:asciiTheme="minorHAnsi" w:hAnsiTheme="minorHAnsi" w:cstheme="minorHAnsi"/>
                <w:bCs/>
                <w:sz w:val="20"/>
                <w:szCs w:val="20"/>
                <w:lang w:val="en-US"/>
              </w:rPr>
              <w:t>INTEC</w:t>
            </w:r>
            <w:r w:rsidRPr="00633DF3">
              <w:rPr>
                <w:rFonts w:asciiTheme="minorHAnsi" w:hAnsiTheme="minorHAnsi" w:cstheme="minorHAnsi"/>
                <w:bCs/>
                <w:sz w:val="20"/>
                <w:szCs w:val="20"/>
              </w:rPr>
              <w:t>.</w:t>
            </w:r>
          </w:p>
        </w:tc>
      </w:tr>
    </w:tbl>
    <w:p w14:paraId="756B7DBC" w14:textId="77777777" w:rsidR="00390DC9" w:rsidRDefault="00390DC9">
      <w:r>
        <w:br w:type="page"/>
      </w:r>
    </w:p>
    <w:tbl>
      <w:tblPr>
        <w:tblStyle w:val="TableGrid"/>
        <w:tblW w:w="10207" w:type="dxa"/>
        <w:tblInd w:w="-289" w:type="dxa"/>
        <w:tblLook w:val="04A0" w:firstRow="1" w:lastRow="0" w:firstColumn="1" w:lastColumn="0" w:noHBand="0" w:noVBand="1"/>
      </w:tblPr>
      <w:tblGrid>
        <w:gridCol w:w="2836"/>
        <w:gridCol w:w="3118"/>
        <w:gridCol w:w="4253"/>
      </w:tblGrid>
      <w:tr w:rsidR="00390DC9" w:rsidRPr="008E3678" w14:paraId="01E32459" w14:textId="77777777" w:rsidTr="00EC598C">
        <w:trPr>
          <w:trHeight w:val="119"/>
          <w:tblHeader/>
        </w:trPr>
        <w:tc>
          <w:tcPr>
            <w:tcW w:w="2836" w:type="dxa"/>
            <w:shd w:val="clear" w:color="auto" w:fill="D9D9D9" w:themeFill="background1" w:themeFillShade="D9"/>
          </w:tcPr>
          <w:p w14:paraId="37C3792D"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lastRenderedPageBreak/>
              <w:t>Διαπίστωση</w:t>
            </w:r>
          </w:p>
        </w:tc>
        <w:tc>
          <w:tcPr>
            <w:tcW w:w="3118" w:type="dxa"/>
            <w:shd w:val="clear" w:color="auto" w:fill="D9D9D9" w:themeFill="background1" w:themeFillShade="D9"/>
          </w:tcPr>
          <w:p w14:paraId="610C9221"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Προκλήσεις</w:t>
            </w:r>
          </w:p>
        </w:tc>
        <w:tc>
          <w:tcPr>
            <w:tcW w:w="4253" w:type="dxa"/>
            <w:shd w:val="clear" w:color="auto" w:fill="D9D9D9" w:themeFill="background1" w:themeFillShade="D9"/>
          </w:tcPr>
          <w:p w14:paraId="3A4EF393"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Προτάσεις επίλυσης του προβλήματος</w:t>
            </w:r>
          </w:p>
        </w:tc>
      </w:tr>
      <w:tr w:rsidR="0032702D" w:rsidRPr="0032702D" w14:paraId="3A0DCA51" w14:textId="77777777" w:rsidTr="00390DC9">
        <w:trPr>
          <w:trHeight w:val="397"/>
          <w:tblHeader/>
        </w:trPr>
        <w:tc>
          <w:tcPr>
            <w:tcW w:w="10207" w:type="dxa"/>
            <w:gridSpan w:val="3"/>
            <w:shd w:val="clear" w:color="auto" w:fill="FFFFFF" w:themeFill="background1"/>
            <w:vAlign w:val="center"/>
          </w:tcPr>
          <w:p w14:paraId="58290E13" w14:textId="5C243E00" w:rsidR="00121AA7" w:rsidRPr="0032702D" w:rsidRDefault="00C93A70" w:rsidP="0032702D">
            <w:pPr>
              <w:jc w:val="center"/>
              <w:rPr>
                <w:rFonts w:asciiTheme="minorHAnsi" w:hAnsiTheme="minorHAnsi" w:cstheme="minorHAnsi"/>
                <w:b/>
                <w:color w:val="FF0000"/>
                <w:sz w:val="24"/>
              </w:rPr>
            </w:pPr>
            <w:r w:rsidRPr="0032702D">
              <w:rPr>
                <w:rFonts w:asciiTheme="minorHAnsi" w:hAnsiTheme="minorHAnsi" w:cstheme="minorHAnsi"/>
                <w:b/>
                <w:color w:val="FF0000"/>
                <w:sz w:val="24"/>
              </w:rPr>
              <w:t>4</w:t>
            </w:r>
            <w:r w:rsidR="00121AA7" w:rsidRPr="0032702D">
              <w:rPr>
                <w:rFonts w:asciiTheme="minorHAnsi" w:hAnsiTheme="minorHAnsi" w:cstheme="minorHAnsi"/>
                <w:b/>
                <w:color w:val="FF0000"/>
                <w:sz w:val="24"/>
              </w:rPr>
              <w:t>. Διεύρυνση της Παραγωγικής Βάσης της Χώρας</w:t>
            </w:r>
          </w:p>
        </w:tc>
      </w:tr>
      <w:tr w:rsidR="00121AA7" w:rsidRPr="008E3678" w14:paraId="4C757A30" w14:textId="77777777" w:rsidTr="00121AA7">
        <w:trPr>
          <w:trHeight w:val="118"/>
        </w:trPr>
        <w:tc>
          <w:tcPr>
            <w:tcW w:w="2836" w:type="dxa"/>
            <w:shd w:val="clear" w:color="auto" w:fill="auto"/>
          </w:tcPr>
          <w:p w14:paraId="3E174FFB" w14:textId="77777777" w:rsidR="00121AA7"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Αποτελεί αδήριτη ανάγκη, η </w:t>
            </w:r>
            <w:r w:rsidRPr="00633DF3">
              <w:rPr>
                <w:rFonts w:asciiTheme="minorHAnsi" w:hAnsiTheme="minorHAnsi" w:cstheme="minorHAnsi"/>
                <w:b/>
                <w:sz w:val="20"/>
                <w:szCs w:val="20"/>
              </w:rPr>
              <w:t>διεύρυνση της παραγωγικής βάσης της χώρας,</w:t>
            </w:r>
            <w:r w:rsidRPr="004E4B8D">
              <w:rPr>
                <w:rFonts w:asciiTheme="minorHAnsi" w:hAnsiTheme="minorHAnsi" w:cstheme="minorHAnsi"/>
                <w:bCs/>
                <w:sz w:val="20"/>
                <w:szCs w:val="20"/>
              </w:rPr>
              <w:t xml:space="preserve"> ούτως ώστε να επιταχυνθεί η μετάβαση σε ένα νέο παραγωγικό μοντέλο. </w:t>
            </w:r>
          </w:p>
          <w:p w14:paraId="1F641FC2" w14:textId="77777777" w:rsidR="00121AA7" w:rsidRPr="004E4B8D" w:rsidRDefault="00121AA7" w:rsidP="00297EE1">
            <w:pPr>
              <w:jc w:val="both"/>
              <w:rPr>
                <w:rFonts w:asciiTheme="minorHAnsi" w:hAnsiTheme="minorHAnsi" w:cstheme="minorHAnsi"/>
                <w:bCs/>
                <w:sz w:val="20"/>
                <w:szCs w:val="20"/>
              </w:rPr>
            </w:pPr>
          </w:p>
          <w:p w14:paraId="5F232B91"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Η διεύρυνση της παραγωγικής βάσης, είναι η ικανή και αναγκαία συνθήκη για την επίτευξη του στόχου της Κυβέρνησης για συμμετοχή της βιομηχανίας στο ΑΕΠ από το 10,7% σήμερα στο 15% μέχρι το 2030.</w:t>
            </w:r>
          </w:p>
          <w:p w14:paraId="634B4E90" w14:textId="77777777" w:rsidR="00121AA7" w:rsidRPr="004E4B8D" w:rsidRDefault="00121AA7" w:rsidP="00297EE1">
            <w:pPr>
              <w:jc w:val="both"/>
              <w:rPr>
                <w:rFonts w:asciiTheme="minorHAnsi" w:hAnsiTheme="minorHAnsi" w:cstheme="minorHAnsi"/>
                <w:bCs/>
                <w:sz w:val="20"/>
                <w:szCs w:val="20"/>
              </w:rPr>
            </w:pPr>
          </w:p>
          <w:p w14:paraId="5B11D1F0" w14:textId="3E16777B" w:rsidR="00121AA7" w:rsidRPr="004E4B8D" w:rsidRDefault="00951559" w:rsidP="00297EE1">
            <w:pPr>
              <w:jc w:val="both"/>
              <w:rPr>
                <w:rFonts w:asciiTheme="minorHAnsi" w:hAnsiTheme="minorHAnsi" w:cstheme="minorHAnsi"/>
                <w:bCs/>
                <w:sz w:val="20"/>
                <w:szCs w:val="20"/>
              </w:rPr>
            </w:pPr>
            <w:r w:rsidRPr="00E90D5B">
              <w:rPr>
                <w:rFonts w:asciiTheme="minorHAnsi" w:hAnsiTheme="minorHAnsi" w:cstheme="minorHAnsi"/>
                <w:bCs/>
                <w:sz w:val="20"/>
                <w:szCs w:val="20"/>
              </w:rPr>
              <w:t>Ο στόχος</w:t>
            </w:r>
            <w:r>
              <w:rPr>
                <w:rFonts w:asciiTheme="minorHAnsi" w:hAnsiTheme="minorHAnsi" w:cstheme="minorHAnsi"/>
                <w:bCs/>
                <w:sz w:val="20"/>
                <w:szCs w:val="20"/>
              </w:rPr>
              <w:t xml:space="preserve"> της </w:t>
            </w:r>
            <w:r w:rsidRPr="00257325">
              <w:rPr>
                <w:rFonts w:asciiTheme="minorHAnsi" w:hAnsiTheme="minorHAnsi" w:cstheme="minorHAnsi"/>
                <w:bCs/>
                <w:sz w:val="20"/>
                <w:szCs w:val="20"/>
              </w:rPr>
              <w:t>αύξηση</w:t>
            </w:r>
            <w:r>
              <w:rPr>
                <w:rFonts w:asciiTheme="minorHAnsi" w:hAnsiTheme="minorHAnsi" w:cstheme="minorHAnsi"/>
                <w:bCs/>
                <w:sz w:val="20"/>
                <w:szCs w:val="20"/>
              </w:rPr>
              <w:t>ς</w:t>
            </w:r>
            <w:r w:rsidRPr="00257325">
              <w:rPr>
                <w:rFonts w:asciiTheme="minorHAnsi" w:hAnsiTheme="minorHAnsi" w:cstheme="minorHAnsi"/>
                <w:bCs/>
                <w:sz w:val="20"/>
                <w:szCs w:val="20"/>
              </w:rPr>
              <w:t xml:space="preserve"> των εξαγωγών στο </w:t>
            </w:r>
            <w:r w:rsidRPr="00633DF3">
              <w:rPr>
                <w:rFonts w:asciiTheme="minorHAnsi" w:hAnsiTheme="minorHAnsi" w:cstheme="minorHAnsi"/>
                <w:bCs/>
                <w:sz w:val="20"/>
                <w:szCs w:val="20"/>
              </w:rPr>
              <w:t>60% του ΑΕΠ έως το 2030</w:t>
            </w:r>
            <w:r>
              <w:rPr>
                <w:rFonts w:asciiTheme="minorHAnsi" w:hAnsiTheme="minorHAnsi" w:cstheme="minorHAnsi"/>
                <w:bCs/>
                <w:sz w:val="20"/>
                <w:szCs w:val="20"/>
              </w:rPr>
              <w:t xml:space="preserve"> εξαρτάται απολύτως από την </w:t>
            </w:r>
            <w:r w:rsidR="00121AA7" w:rsidRPr="00633DF3">
              <w:rPr>
                <w:rFonts w:asciiTheme="minorHAnsi" w:hAnsiTheme="minorHAnsi" w:cstheme="minorHAnsi"/>
                <w:b/>
                <w:sz w:val="20"/>
                <w:szCs w:val="20"/>
              </w:rPr>
              <w:t>ενίσχυση της εξωστρέφειας</w:t>
            </w:r>
            <w:r w:rsidR="00121AA7" w:rsidRPr="00257325">
              <w:rPr>
                <w:rFonts w:asciiTheme="minorHAnsi" w:hAnsiTheme="minorHAnsi" w:cstheme="minorHAnsi"/>
                <w:bCs/>
                <w:sz w:val="20"/>
                <w:szCs w:val="20"/>
              </w:rPr>
              <w:t xml:space="preserve"> του παραγωγικού συστήματος της χώρας και </w:t>
            </w:r>
            <w:r>
              <w:rPr>
                <w:rFonts w:asciiTheme="minorHAnsi" w:hAnsiTheme="minorHAnsi" w:cstheme="minorHAnsi"/>
                <w:bCs/>
                <w:sz w:val="20"/>
                <w:szCs w:val="20"/>
              </w:rPr>
              <w:t xml:space="preserve">την </w:t>
            </w:r>
            <w:r w:rsidR="00121AA7" w:rsidRPr="00257325">
              <w:rPr>
                <w:rFonts w:asciiTheme="minorHAnsi" w:hAnsiTheme="minorHAnsi" w:cstheme="minorHAnsi"/>
                <w:bCs/>
                <w:sz w:val="20"/>
                <w:szCs w:val="20"/>
              </w:rPr>
              <w:t>παραγωγή διεθνώς εμπορεύσιμων προϊόντων</w:t>
            </w:r>
            <w:r>
              <w:rPr>
                <w:rFonts w:asciiTheme="minorHAnsi" w:hAnsiTheme="minorHAnsi" w:cstheme="minorHAnsi"/>
                <w:bCs/>
                <w:sz w:val="20"/>
                <w:szCs w:val="20"/>
              </w:rPr>
              <w:t xml:space="preserve">. </w:t>
            </w:r>
          </w:p>
        </w:tc>
        <w:tc>
          <w:tcPr>
            <w:tcW w:w="3118" w:type="dxa"/>
            <w:shd w:val="clear" w:color="auto" w:fill="auto"/>
          </w:tcPr>
          <w:p w14:paraId="55AFC60B"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Η υλοποίηση παραγωγικών επενδύσεων αποτελεί μονόδρομο για την αλλαγή του παραγωγικού υποδείγματος της Ελληνικής οικονομίας.</w:t>
            </w:r>
          </w:p>
          <w:p w14:paraId="534D7660" w14:textId="77777777" w:rsidR="00121AA7" w:rsidRPr="006966C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Στο πλαίσιο αυτό, οι προκλήσεις είναι πολλές και σημαντικές, με κυριότερες από αυτές:</w:t>
            </w:r>
          </w:p>
          <w:p w14:paraId="32C10E66" w14:textId="1914EC9B" w:rsidR="004E2585" w:rsidRPr="00633DF3" w:rsidRDefault="004E2585" w:rsidP="00121AA7">
            <w:pPr>
              <w:pStyle w:val="ListParagraph"/>
              <w:numPr>
                <w:ilvl w:val="0"/>
                <w:numId w:val="33"/>
              </w:numPr>
              <w:ind w:left="176" w:hanging="142"/>
              <w:contextualSpacing w:val="0"/>
              <w:jc w:val="both"/>
              <w:rPr>
                <w:rFonts w:asciiTheme="minorHAnsi" w:hAnsiTheme="minorHAnsi" w:cstheme="minorHAnsi"/>
                <w:bCs/>
                <w:sz w:val="20"/>
                <w:szCs w:val="20"/>
              </w:rPr>
            </w:pPr>
            <w:r w:rsidRPr="006966CD">
              <w:rPr>
                <w:rFonts w:asciiTheme="minorHAnsi" w:hAnsiTheme="minorHAnsi" w:cstheme="minorHAnsi"/>
                <w:bCs/>
                <w:sz w:val="20"/>
                <w:szCs w:val="20"/>
              </w:rPr>
              <w:t xml:space="preserve">Τη </w:t>
            </w:r>
            <w:r w:rsidRPr="00633DF3">
              <w:rPr>
                <w:rFonts w:asciiTheme="minorHAnsi" w:hAnsiTheme="minorHAnsi" w:cstheme="minorHAnsi"/>
                <w:b/>
                <w:sz w:val="20"/>
                <w:szCs w:val="20"/>
              </w:rPr>
              <w:t>μείωση του κόστους του χρήματος</w:t>
            </w:r>
            <w:r w:rsidRPr="00633DF3">
              <w:rPr>
                <w:rFonts w:asciiTheme="minorHAnsi" w:hAnsiTheme="minorHAnsi" w:cstheme="minorHAnsi"/>
                <w:bCs/>
                <w:sz w:val="20"/>
                <w:szCs w:val="20"/>
              </w:rPr>
              <w:t xml:space="preserve"> για τις επιχειρήσεις.</w:t>
            </w:r>
          </w:p>
          <w:p w14:paraId="5DC32DAB" w14:textId="1E6F66A2"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633DF3">
              <w:rPr>
                <w:rFonts w:asciiTheme="minorHAnsi" w:hAnsiTheme="minorHAnsi" w:cstheme="minorHAnsi"/>
                <w:bCs/>
                <w:sz w:val="20"/>
                <w:szCs w:val="20"/>
              </w:rPr>
              <w:t xml:space="preserve">Τη </w:t>
            </w:r>
            <w:r w:rsidRPr="00633DF3">
              <w:rPr>
                <w:rFonts w:asciiTheme="minorHAnsi" w:hAnsiTheme="minorHAnsi" w:cstheme="minorHAnsi"/>
                <w:b/>
                <w:sz w:val="20"/>
                <w:szCs w:val="20"/>
              </w:rPr>
              <w:t>μείωση της φοροδιαφυγής</w:t>
            </w:r>
            <w:r w:rsidRPr="004E4B8D">
              <w:rPr>
                <w:rFonts w:asciiTheme="minorHAnsi" w:hAnsiTheme="minorHAnsi" w:cstheme="minorHAnsi"/>
                <w:bCs/>
                <w:sz w:val="20"/>
                <w:szCs w:val="20"/>
              </w:rPr>
              <w:t>, ούτως ώστε να δημιουργηθούν οι απαραίτητοι πόροι για την υλοποίηση επενδύσεων.</w:t>
            </w:r>
          </w:p>
          <w:p w14:paraId="23BBEF6F" w14:textId="77777777" w:rsidR="00121AA7" w:rsidRPr="00633DF3"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 δημιουργία ακόμη πιο </w:t>
            </w:r>
            <w:r w:rsidRPr="00633DF3">
              <w:rPr>
                <w:rFonts w:asciiTheme="minorHAnsi" w:hAnsiTheme="minorHAnsi" w:cstheme="minorHAnsi"/>
                <w:b/>
                <w:sz w:val="20"/>
                <w:szCs w:val="20"/>
              </w:rPr>
              <w:t>φιλικού νομοθετικού πλαισίου για τις επενδύσεις.</w:t>
            </w:r>
            <w:r w:rsidRPr="00633DF3">
              <w:rPr>
                <w:rFonts w:asciiTheme="minorHAnsi" w:hAnsiTheme="minorHAnsi" w:cstheme="minorHAnsi"/>
                <w:bCs/>
                <w:sz w:val="20"/>
                <w:szCs w:val="20"/>
              </w:rPr>
              <w:t xml:space="preserve"> </w:t>
            </w:r>
          </w:p>
          <w:p w14:paraId="7BDD47E4" w14:textId="77777777" w:rsidR="00121AA7" w:rsidRPr="00633DF3" w:rsidRDefault="00121AA7" w:rsidP="00121AA7">
            <w:pPr>
              <w:pStyle w:val="ListParagraph"/>
              <w:numPr>
                <w:ilvl w:val="0"/>
                <w:numId w:val="33"/>
              </w:numPr>
              <w:ind w:left="176" w:hanging="142"/>
              <w:contextualSpacing w:val="0"/>
              <w:jc w:val="both"/>
              <w:rPr>
                <w:rFonts w:asciiTheme="minorHAnsi" w:hAnsiTheme="minorHAnsi" w:cstheme="minorHAnsi"/>
                <w:b/>
                <w:sz w:val="20"/>
                <w:szCs w:val="20"/>
              </w:rPr>
            </w:pPr>
            <w:r w:rsidRPr="00633DF3">
              <w:rPr>
                <w:rFonts w:asciiTheme="minorHAnsi" w:hAnsiTheme="minorHAnsi" w:cstheme="minorHAnsi"/>
                <w:bCs/>
                <w:sz w:val="20"/>
                <w:szCs w:val="20"/>
              </w:rPr>
              <w:t xml:space="preserve">Την </w:t>
            </w:r>
            <w:r w:rsidRPr="00633DF3">
              <w:rPr>
                <w:rFonts w:asciiTheme="minorHAnsi" w:hAnsiTheme="minorHAnsi" w:cstheme="minorHAnsi"/>
                <w:b/>
                <w:sz w:val="20"/>
                <w:szCs w:val="20"/>
              </w:rPr>
              <w:t>ταχύτερη απονομή της δικαιοσύνης.</w:t>
            </w:r>
          </w:p>
          <w:p w14:paraId="731BFC79"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633DF3">
              <w:rPr>
                <w:rFonts w:asciiTheme="minorHAnsi" w:hAnsiTheme="minorHAnsi" w:cstheme="minorHAnsi"/>
                <w:bCs/>
                <w:sz w:val="20"/>
                <w:szCs w:val="20"/>
              </w:rPr>
              <w:t xml:space="preserve">Την </w:t>
            </w:r>
            <w:r w:rsidRPr="00633DF3">
              <w:rPr>
                <w:rFonts w:asciiTheme="minorHAnsi" w:hAnsiTheme="minorHAnsi" w:cstheme="minorHAnsi"/>
                <w:b/>
                <w:sz w:val="20"/>
                <w:szCs w:val="20"/>
              </w:rPr>
              <w:t>κωδικοποίηση της νομοθεσίας</w:t>
            </w:r>
            <w:r w:rsidRPr="00633DF3">
              <w:rPr>
                <w:rFonts w:asciiTheme="minorHAnsi" w:hAnsiTheme="minorHAnsi" w:cstheme="minorHAnsi"/>
                <w:bCs/>
                <w:sz w:val="20"/>
                <w:szCs w:val="20"/>
              </w:rPr>
              <w:t xml:space="preserve"> που</w:t>
            </w:r>
            <w:r w:rsidRPr="004E4B8D">
              <w:rPr>
                <w:rFonts w:asciiTheme="minorHAnsi" w:hAnsiTheme="minorHAnsi" w:cstheme="minorHAnsi"/>
                <w:bCs/>
                <w:sz w:val="20"/>
                <w:szCs w:val="20"/>
              </w:rPr>
              <w:t xml:space="preserve"> αφορά τις επενδύσεις και την επιχειρηματικότητα.</w:t>
            </w:r>
          </w:p>
        </w:tc>
        <w:tc>
          <w:tcPr>
            <w:tcW w:w="4253" w:type="dxa"/>
            <w:shd w:val="clear" w:color="auto" w:fill="auto"/>
          </w:tcPr>
          <w:p w14:paraId="13B19789" w14:textId="77777777" w:rsidR="00121AA7" w:rsidRPr="004E4B8D" w:rsidRDefault="00121AA7" w:rsidP="00297EE1">
            <w:pPr>
              <w:ind w:left="34"/>
              <w:jc w:val="both"/>
              <w:rPr>
                <w:rFonts w:asciiTheme="minorHAnsi" w:hAnsiTheme="minorHAnsi" w:cstheme="minorHAnsi"/>
                <w:bCs/>
                <w:sz w:val="20"/>
                <w:szCs w:val="20"/>
              </w:rPr>
            </w:pPr>
            <w:r w:rsidRPr="004E4B8D">
              <w:rPr>
                <w:rFonts w:asciiTheme="minorHAnsi" w:hAnsiTheme="minorHAnsi" w:cstheme="minorHAnsi"/>
                <w:bCs/>
                <w:sz w:val="20"/>
                <w:szCs w:val="20"/>
              </w:rPr>
              <w:t>Προτείνουμε:</w:t>
            </w:r>
          </w:p>
          <w:p w14:paraId="1F0F13B3" w14:textId="77777777" w:rsidR="00121AA7" w:rsidRPr="00633DF3"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633DF3">
              <w:rPr>
                <w:rFonts w:asciiTheme="minorHAnsi" w:hAnsiTheme="minorHAnsi" w:cstheme="minorHAnsi"/>
                <w:bCs/>
                <w:sz w:val="20"/>
                <w:szCs w:val="20"/>
              </w:rPr>
              <w:t>Την ταχύτατη εξειδίκευση της «Εθνικής Στρατηγικής για τη Βιομηχανία» και τη συγκρότηση των σχετικών ομάδων εργασίας.</w:t>
            </w:r>
          </w:p>
          <w:p w14:paraId="207384F5"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Την εξειδίκευση του στόχου της Κυβέρνησης για αύξηση των εξαγωγών βιομηχανικών προϊόντων ως ποσοστού στο ΑΕΠ από 10,7% σήμερα σε 30% το 2030.</w:t>
            </w:r>
          </w:p>
          <w:p w14:paraId="0AC0770F" w14:textId="77777777" w:rsidR="00121AA7"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Την ετήσια αξιολόγηση των επιπτώσεων της «Εθνικής Στρατηγικής για τη Βιομηχανία» στη ανάπτυξη της χώρας και ειδικά στη μείωση των περιφερειακών και ενδοπεριφερειακών ανισοτήτων.</w:t>
            </w:r>
          </w:p>
          <w:p w14:paraId="0698F878" w14:textId="67738AE6" w:rsidR="004E2585" w:rsidRPr="006966CD" w:rsidRDefault="004E2585" w:rsidP="00121AA7">
            <w:pPr>
              <w:pStyle w:val="ListParagraph"/>
              <w:numPr>
                <w:ilvl w:val="0"/>
                <w:numId w:val="34"/>
              </w:numPr>
              <w:ind w:left="317" w:hanging="283"/>
              <w:contextualSpacing w:val="0"/>
              <w:jc w:val="both"/>
              <w:rPr>
                <w:rFonts w:asciiTheme="minorHAnsi" w:hAnsiTheme="minorHAnsi" w:cstheme="minorHAnsi"/>
                <w:bCs/>
                <w:sz w:val="20"/>
                <w:szCs w:val="20"/>
              </w:rPr>
            </w:pPr>
            <w:r w:rsidRPr="006966CD">
              <w:rPr>
                <w:rFonts w:asciiTheme="minorHAnsi" w:hAnsiTheme="minorHAnsi" w:cstheme="minorHAnsi"/>
                <w:bCs/>
                <w:sz w:val="20"/>
                <w:szCs w:val="20"/>
              </w:rPr>
              <w:t xml:space="preserve">Την κατάργηση ειδικών τελών και επιβαρύνσεων, όπως η εισφορά ποσοστού 0,6% της ΑΝΕ 128 στα δάνεια, </w:t>
            </w:r>
          </w:p>
          <w:p w14:paraId="14A43BF1" w14:textId="77777777" w:rsidR="00121AA7" w:rsidRPr="004E4B8D" w:rsidRDefault="00121AA7" w:rsidP="00297EE1">
            <w:pPr>
              <w:ind w:left="34"/>
              <w:jc w:val="both"/>
              <w:rPr>
                <w:rFonts w:asciiTheme="minorHAnsi" w:hAnsiTheme="minorHAnsi" w:cstheme="minorHAnsi"/>
                <w:bCs/>
                <w:sz w:val="20"/>
                <w:szCs w:val="20"/>
              </w:rPr>
            </w:pPr>
          </w:p>
          <w:p w14:paraId="7B9C3695" w14:textId="77777777" w:rsidR="00121AA7" w:rsidRPr="004E4B8D" w:rsidRDefault="00121AA7" w:rsidP="00297EE1">
            <w:pPr>
              <w:ind w:left="34"/>
              <w:jc w:val="both"/>
              <w:rPr>
                <w:rFonts w:asciiTheme="minorHAnsi" w:hAnsiTheme="minorHAnsi" w:cstheme="minorHAnsi"/>
                <w:bCs/>
                <w:sz w:val="20"/>
                <w:szCs w:val="20"/>
              </w:rPr>
            </w:pPr>
            <w:r w:rsidRPr="004E4B8D">
              <w:rPr>
                <w:rFonts w:asciiTheme="minorHAnsi" w:hAnsiTheme="minorHAnsi" w:cstheme="minorHAnsi"/>
                <w:bCs/>
                <w:sz w:val="20"/>
                <w:szCs w:val="20"/>
              </w:rPr>
              <w:t>Για την προσέλκυση διεθνών κεφαλαίων και την υλοποίηση διεθνών συνεργασιών και κοινών επενδύσεων.</w:t>
            </w:r>
          </w:p>
          <w:p w14:paraId="32E6EE83"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Πρόγραμμα επιχειρηματικών αποστολών υπό την αιγίδα και με την παρουσία του ίδιου του Πρωθυπουργού κ. Κυριάκου Μητσοτάκη.</w:t>
            </w:r>
          </w:p>
          <w:p w14:paraId="6058DF25"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Έμφαση θα πρέπει να δοθεί στη δημιουργία κοινών επιχειρηματικών σχημάτων στη μεταποίηση, στον πρωτογενή τομέα της παραγωγής και στην έρευνα και τεχνολογία.</w:t>
            </w:r>
          </w:p>
        </w:tc>
      </w:tr>
      <w:tr w:rsidR="0032702D" w:rsidRPr="0032702D" w14:paraId="35757146" w14:textId="77777777" w:rsidTr="00390DC9">
        <w:trPr>
          <w:trHeight w:val="397"/>
          <w:tblHeader/>
        </w:trPr>
        <w:tc>
          <w:tcPr>
            <w:tcW w:w="10207" w:type="dxa"/>
            <w:gridSpan w:val="3"/>
            <w:shd w:val="clear" w:color="auto" w:fill="FFFFFF" w:themeFill="background1"/>
            <w:vAlign w:val="center"/>
          </w:tcPr>
          <w:p w14:paraId="51DD64EB" w14:textId="5B6FC66D" w:rsidR="00121AA7" w:rsidRPr="0032702D" w:rsidRDefault="00C93A70" w:rsidP="0032702D">
            <w:pPr>
              <w:jc w:val="center"/>
              <w:rPr>
                <w:rFonts w:asciiTheme="minorHAnsi" w:hAnsiTheme="minorHAnsi" w:cstheme="minorHAnsi"/>
                <w:b/>
                <w:color w:val="FF0000"/>
                <w:sz w:val="24"/>
              </w:rPr>
            </w:pPr>
            <w:r w:rsidRPr="0032702D">
              <w:rPr>
                <w:rFonts w:asciiTheme="minorHAnsi" w:hAnsiTheme="minorHAnsi" w:cstheme="minorHAnsi"/>
                <w:b/>
                <w:color w:val="FF0000"/>
                <w:sz w:val="24"/>
              </w:rPr>
              <w:t>5</w:t>
            </w:r>
            <w:r w:rsidR="00121AA7" w:rsidRPr="0032702D">
              <w:rPr>
                <w:rFonts w:asciiTheme="minorHAnsi" w:hAnsiTheme="minorHAnsi" w:cstheme="minorHAnsi"/>
                <w:b/>
                <w:color w:val="FF0000"/>
                <w:sz w:val="24"/>
              </w:rPr>
              <w:t>. Μείωση του Τεχνολογικού Χάσματος</w:t>
            </w:r>
          </w:p>
        </w:tc>
      </w:tr>
      <w:tr w:rsidR="00121AA7" w:rsidRPr="008E3678" w14:paraId="258D5069" w14:textId="77777777" w:rsidTr="00121AA7">
        <w:trPr>
          <w:trHeight w:val="118"/>
        </w:trPr>
        <w:tc>
          <w:tcPr>
            <w:tcW w:w="2836" w:type="dxa"/>
            <w:shd w:val="clear" w:color="auto" w:fill="auto"/>
          </w:tcPr>
          <w:p w14:paraId="75876577"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Παρά τις γενναίες χρηματοδοτήσεις από την Ευρωπαϊκή Ένωση τα τελευταία σαράντα χρόνια με σκοπό τη </w:t>
            </w:r>
            <w:r w:rsidRPr="008E2284">
              <w:rPr>
                <w:rFonts w:asciiTheme="minorHAnsi" w:hAnsiTheme="minorHAnsi" w:cstheme="minorHAnsi"/>
                <w:b/>
                <w:sz w:val="20"/>
                <w:szCs w:val="20"/>
              </w:rPr>
              <w:t>μείωση του τεχνολογικού χάσματος</w:t>
            </w:r>
            <w:r w:rsidRPr="004E4B8D">
              <w:rPr>
                <w:rFonts w:asciiTheme="minorHAnsi" w:hAnsiTheme="minorHAnsi" w:cstheme="minorHAnsi"/>
                <w:b/>
                <w:sz w:val="20"/>
                <w:szCs w:val="20"/>
              </w:rPr>
              <w:t xml:space="preserve"> </w:t>
            </w:r>
            <w:r w:rsidRPr="004E4B8D">
              <w:rPr>
                <w:rFonts w:asciiTheme="minorHAnsi" w:hAnsiTheme="minorHAnsi" w:cstheme="minorHAnsi"/>
                <w:bCs/>
                <w:sz w:val="20"/>
                <w:szCs w:val="20"/>
              </w:rPr>
              <w:t xml:space="preserve">μεταξύ της Ευρωπαϊκής Ένωσης και της Βόρειας Αμερικής, αυτό εξακολουθεί να υφίσταται και σε κάποιες περιπτώσεις να διευρύνεται. </w:t>
            </w:r>
          </w:p>
        </w:tc>
        <w:tc>
          <w:tcPr>
            <w:tcW w:w="3118" w:type="dxa"/>
            <w:shd w:val="clear" w:color="auto" w:fill="auto"/>
          </w:tcPr>
          <w:p w14:paraId="664C7AAB"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Η ένταξη στη στρατηγική των Ελληνικών επιχειρήσεων της κάλυψης του «τεχνολογικού ελλείμματος» είναι βέβαιο ότι θα αποτελέσει πηγή δημιουργίας ανταγωνιστικού πλεονεκτήματος, παραγωγής «διεθνώς εμπορεύσιμων προϊόντων» και επιτυχούς αντιμετώπισης των προκλήσεων από την 4</w:t>
            </w:r>
            <w:r w:rsidRPr="004E4B8D">
              <w:rPr>
                <w:rFonts w:asciiTheme="minorHAnsi" w:hAnsiTheme="minorHAnsi" w:cstheme="minorHAnsi"/>
                <w:bCs/>
                <w:sz w:val="20"/>
                <w:szCs w:val="20"/>
                <w:vertAlign w:val="superscript"/>
              </w:rPr>
              <w:t>η</w:t>
            </w:r>
            <w:r w:rsidRPr="004E4B8D">
              <w:rPr>
                <w:rFonts w:asciiTheme="minorHAnsi" w:hAnsiTheme="minorHAnsi" w:cstheme="minorHAnsi"/>
                <w:bCs/>
                <w:sz w:val="20"/>
                <w:szCs w:val="20"/>
              </w:rPr>
              <w:t xml:space="preserve"> βιομηχανική επανάσταση. </w:t>
            </w:r>
          </w:p>
        </w:tc>
        <w:tc>
          <w:tcPr>
            <w:tcW w:w="4253" w:type="dxa"/>
            <w:shd w:val="clear" w:color="auto" w:fill="auto"/>
          </w:tcPr>
          <w:p w14:paraId="1F0AD674"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Αυξημένα ποσοστά χρηματοδότησης επενδύσεων σε έρευνα, τεχνολογική ανάπτυξη και μεταφορά τεχνολογίας. </w:t>
            </w:r>
          </w:p>
          <w:p w14:paraId="7DD1DBEE"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Δημιουργία προγράμματος επιχορήγησης της δημιουργίας και οργάνωσης Τμημάτων Έρευνας και Ανάπτυξης σε μεταποιητικές επιχειρήσεις.</w:t>
            </w:r>
          </w:p>
          <w:p w14:paraId="76EF37B6"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Παροχή ειδικών και αυξημένων κινήτρων για προσέλκυση ξένων επενδύσεων υψηλής τεχνολογίας.</w:t>
            </w:r>
          </w:p>
          <w:p w14:paraId="523943DE"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Δημιουργία προγραμμάτων ανάσχεσης του </w:t>
            </w:r>
            <w:r w:rsidRPr="004E4B8D">
              <w:rPr>
                <w:rFonts w:asciiTheme="minorHAnsi" w:hAnsiTheme="minorHAnsi" w:cstheme="minorHAnsi"/>
                <w:bCs/>
                <w:sz w:val="20"/>
                <w:szCs w:val="20"/>
                <w:lang w:val="en-US"/>
              </w:rPr>
              <w:t>brain</w:t>
            </w:r>
            <w:r w:rsidRPr="004E4B8D">
              <w:rPr>
                <w:rFonts w:asciiTheme="minorHAnsi" w:hAnsiTheme="minorHAnsi" w:cstheme="minorHAnsi"/>
                <w:bCs/>
                <w:sz w:val="20"/>
                <w:szCs w:val="20"/>
              </w:rPr>
              <w:t xml:space="preserve"> </w:t>
            </w:r>
            <w:r w:rsidRPr="004E4B8D">
              <w:rPr>
                <w:rFonts w:asciiTheme="minorHAnsi" w:hAnsiTheme="minorHAnsi" w:cstheme="minorHAnsi"/>
                <w:bCs/>
                <w:sz w:val="20"/>
                <w:szCs w:val="20"/>
                <w:lang w:val="en-US"/>
              </w:rPr>
              <w:t>drain</w:t>
            </w:r>
            <w:r w:rsidRPr="004E4B8D">
              <w:rPr>
                <w:rFonts w:asciiTheme="minorHAnsi" w:hAnsiTheme="minorHAnsi" w:cstheme="minorHAnsi"/>
                <w:bCs/>
                <w:sz w:val="20"/>
                <w:szCs w:val="20"/>
              </w:rPr>
              <w:t xml:space="preserve"> και προσέλκυσης τόσο Ελλήνων του εξωτερικού, όσο και αλλοδαπών στελεχών υψηλής εξειδίκευσης. </w:t>
            </w:r>
          </w:p>
          <w:p w14:paraId="79ED7423"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Ενίσχυση της λειτουργίας των «Γραφείων Μεταφοράς Τεχνολογίας» των ΑΕΙ και των ερευνητικών ιδρυμάτων της χώρας. </w:t>
            </w:r>
          </w:p>
        </w:tc>
      </w:tr>
    </w:tbl>
    <w:p w14:paraId="5BD9693D" w14:textId="77777777" w:rsidR="00390DC9" w:rsidRDefault="00390DC9">
      <w:r>
        <w:br w:type="page"/>
      </w:r>
    </w:p>
    <w:tbl>
      <w:tblPr>
        <w:tblStyle w:val="TableGrid"/>
        <w:tblW w:w="10207" w:type="dxa"/>
        <w:tblInd w:w="-289" w:type="dxa"/>
        <w:tblLook w:val="04A0" w:firstRow="1" w:lastRow="0" w:firstColumn="1" w:lastColumn="0" w:noHBand="0" w:noVBand="1"/>
      </w:tblPr>
      <w:tblGrid>
        <w:gridCol w:w="2836"/>
        <w:gridCol w:w="3118"/>
        <w:gridCol w:w="4253"/>
      </w:tblGrid>
      <w:tr w:rsidR="00390DC9" w:rsidRPr="008E3678" w14:paraId="335583A7" w14:textId="77777777" w:rsidTr="00EC598C">
        <w:trPr>
          <w:trHeight w:val="119"/>
          <w:tblHeader/>
        </w:trPr>
        <w:tc>
          <w:tcPr>
            <w:tcW w:w="2836" w:type="dxa"/>
            <w:shd w:val="clear" w:color="auto" w:fill="D9D9D9" w:themeFill="background1" w:themeFillShade="D9"/>
          </w:tcPr>
          <w:p w14:paraId="3EA74144"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lastRenderedPageBreak/>
              <w:t>Διαπίστωση</w:t>
            </w:r>
          </w:p>
        </w:tc>
        <w:tc>
          <w:tcPr>
            <w:tcW w:w="3118" w:type="dxa"/>
            <w:shd w:val="clear" w:color="auto" w:fill="D9D9D9" w:themeFill="background1" w:themeFillShade="D9"/>
          </w:tcPr>
          <w:p w14:paraId="317FA66B"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Προκλήσεις</w:t>
            </w:r>
          </w:p>
        </w:tc>
        <w:tc>
          <w:tcPr>
            <w:tcW w:w="4253" w:type="dxa"/>
            <w:shd w:val="clear" w:color="auto" w:fill="D9D9D9" w:themeFill="background1" w:themeFillShade="D9"/>
          </w:tcPr>
          <w:p w14:paraId="0920331D"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Προτάσεις επίλυσης του προβλήματος</w:t>
            </w:r>
          </w:p>
        </w:tc>
      </w:tr>
      <w:tr w:rsidR="0032702D" w:rsidRPr="0032702D" w14:paraId="2FBF6B21" w14:textId="77777777" w:rsidTr="00390DC9">
        <w:trPr>
          <w:trHeight w:val="397"/>
          <w:tblHeader/>
        </w:trPr>
        <w:tc>
          <w:tcPr>
            <w:tcW w:w="10207" w:type="dxa"/>
            <w:gridSpan w:val="3"/>
            <w:shd w:val="clear" w:color="auto" w:fill="FFFFFF" w:themeFill="background1"/>
            <w:vAlign w:val="center"/>
          </w:tcPr>
          <w:p w14:paraId="6743D140" w14:textId="01F62AED" w:rsidR="00121AA7" w:rsidRPr="0032702D" w:rsidRDefault="00C93A70" w:rsidP="0032702D">
            <w:pPr>
              <w:jc w:val="center"/>
              <w:rPr>
                <w:rFonts w:asciiTheme="minorHAnsi" w:hAnsiTheme="minorHAnsi" w:cstheme="minorHAnsi"/>
                <w:b/>
                <w:color w:val="FF0000"/>
                <w:sz w:val="24"/>
              </w:rPr>
            </w:pPr>
            <w:r w:rsidRPr="0032702D">
              <w:rPr>
                <w:rFonts w:asciiTheme="minorHAnsi" w:hAnsiTheme="minorHAnsi" w:cstheme="minorHAnsi"/>
                <w:b/>
                <w:color w:val="FF0000"/>
                <w:sz w:val="24"/>
              </w:rPr>
              <w:t>6</w:t>
            </w:r>
            <w:r w:rsidR="00121AA7" w:rsidRPr="0032702D">
              <w:rPr>
                <w:rFonts w:asciiTheme="minorHAnsi" w:hAnsiTheme="minorHAnsi" w:cstheme="minorHAnsi"/>
                <w:b/>
                <w:color w:val="FF0000"/>
                <w:sz w:val="24"/>
              </w:rPr>
              <w:t>. Φιλικό Ρυθμιστικό Περιβάλλον</w:t>
            </w:r>
          </w:p>
        </w:tc>
      </w:tr>
      <w:tr w:rsidR="00121AA7" w:rsidRPr="008E3678" w14:paraId="3650A9BD" w14:textId="77777777" w:rsidTr="00121AA7">
        <w:trPr>
          <w:trHeight w:val="118"/>
        </w:trPr>
        <w:tc>
          <w:tcPr>
            <w:tcW w:w="2836" w:type="dxa"/>
            <w:shd w:val="clear" w:color="auto" w:fill="auto"/>
          </w:tcPr>
          <w:p w14:paraId="5D7D9386" w14:textId="77777777" w:rsidR="00121AA7" w:rsidRPr="008E2284"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Το </w:t>
            </w:r>
            <w:r w:rsidRPr="008E2284">
              <w:rPr>
                <w:rFonts w:asciiTheme="minorHAnsi" w:hAnsiTheme="minorHAnsi" w:cstheme="minorHAnsi"/>
                <w:b/>
                <w:sz w:val="20"/>
                <w:szCs w:val="20"/>
              </w:rPr>
              <w:t>ρυθμιστικό περιβάλλον</w:t>
            </w:r>
            <w:r w:rsidRPr="008E2284">
              <w:rPr>
                <w:rFonts w:asciiTheme="minorHAnsi" w:hAnsiTheme="minorHAnsi" w:cstheme="minorHAnsi"/>
                <w:bCs/>
                <w:sz w:val="20"/>
                <w:szCs w:val="20"/>
              </w:rPr>
              <w:t xml:space="preserve"> εντός του οποίου καλείται να δραστηριοποιηθεί μια επιχείρηση, καθορίζει σε μεγάλο βαθμό τη δυνατότητα που της δίνεται για την επιβίωσή της και την επίτευξη υψηλών ρυθμών ανάπτυξης. </w:t>
            </w:r>
          </w:p>
          <w:p w14:paraId="359160E9" w14:textId="77777777" w:rsidR="00121AA7" w:rsidRPr="004E4B8D" w:rsidRDefault="00121AA7" w:rsidP="00297EE1">
            <w:pPr>
              <w:jc w:val="both"/>
              <w:rPr>
                <w:rFonts w:asciiTheme="minorHAnsi" w:hAnsiTheme="minorHAnsi" w:cstheme="minorHAnsi"/>
                <w:sz w:val="20"/>
                <w:szCs w:val="20"/>
              </w:rPr>
            </w:pPr>
            <w:r w:rsidRPr="008E2284">
              <w:rPr>
                <w:rFonts w:asciiTheme="minorHAnsi" w:hAnsiTheme="minorHAnsi" w:cstheme="minorHAnsi"/>
                <w:bCs/>
                <w:sz w:val="20"/>
                <w:szCs w:val="20"/>
              </w:rPr>
              <w:t>Η βελτίωση του ρυθμιστικού περιβάλλοντος, και ειδικά στο σκέλος που αφορά στην υλοποίηση επενδύσεων, θα συμβάλλει στην επίτευξη του εθνικού στόχου για αύξηση των επενδύσεων κατά 70%, με επενδύσεις 50 δις € ετησίως έως το 2027 και συμμετοχή των επενδύσεων άνω του 20% στο ΑΕΠ.</w:t>
            </w:r>
          </w:p>
        </w:tc>
        <w:tc>
          <w:tcPr>
            <w:tcW w:w="3118" w:type="dxa"/>
            <w:shd w:val="clear" w:color="auto" w:fill="auto"/>
          </w:tcPr>
          <w:p w14:paraId="253F8D55"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Κατά τον ΣΒΕ, η έννοια του </w:t>
            </w:r>
            <w:r w:rsidRPr="008E2284">
              <w:rPr>
                <w:rFonts w:asciiTheme="minorHAnsi" w:hAnsiTheme="minorHAnsi" w:cstheme="minorHAnsi"/>
                <w:b/>
                <w:sz w:val="20"/>
                <w:szCs w:val="20"/>
              </w:rPr>
              <w:t>«φιλικού» περιβάλλοντος δραστηριοποίησης</w:t>
            </w:r>
            <w:r w:rsidRPr="004E4B8D">
              <w:rPr>
                <w:rFonts w:asciiTheme="minorHAnsi" w:hAnsiTheme="minorHAnsi" w:cstheme="minorHAnsi"/>
                <w:bCs/>
                <w:sz w:val="20"/>
                <w:szCs w:val="20"/>
              </w:rPr>
              <w:t xml:space="preserve"> των επιχειρήσεων, είναι η βασική προϋπόθεση για:</w:t>
            </w:r>
          </w:p>
          <w:p w14:paraId="1AC26E05"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 μείωση του λειτουργικού κόστους των επιχειρήσεων, </w:t>
            </w:r>
          </w:p>
          <w:p w14:paraId="3003835E"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την αποφυγή αναίτιων διοικητικών και οικονομικών βαρών, </w:t>
            </w:r>
          </w:p>
          <w:p w14:paraId="11D386EA"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την εύρυθμη λειτουργία της αγοράς, </w:t>
            </w:r>
          </w:p>
          <w:p w14:paraId="7AEB89B5"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την εξασφάλιση ισότιμων όρων ανταγωνισμού, </w:t>
            </w:r>
          </w:p>
          <w:p w14:paraId="390EE8A1"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την ορθή και ταχεία απονομή της δικαιοσύνης, και, </w:t>
            </w:r>
          </w:p>
          <w:p w14:paraId="0BFF3658"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τη δυνατότητα προσέλκυσης και υλοποίησης επενδύσεων.</w:t>
            </w:r>
          </w:p>
        </w:tc>
        <w:tc>
          <w:tcPr>
            <w:tcW w:w="4253" w:type="dxa"/>
            <w:shd w:val="clear" w:color="auto" w:fill="auto"/>
          </w:tcPr>
          <w:p w14:paraId="58D476E1" w14:textId="77777777" w:rsidR="00121AA7" w:rsidRPr="008E2284" w:rsidRDefault="00121AA7" w:rsidP="00121AA7">
            <w:pPr>
              <w:pStyle w:val="ListParagraph"/>
              <w:numPr>
                <w:ilvl w:val="0"/>
                <w:numId w:val="34"/>
              </w:numPr>
              <w:ind w:left="316" w:hanging="28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Άρση των εμποδίων για την </w:t>
            </w:r>
            <w:r w:rsidRPr="008E2284">
              <w:rPr>
                <w:rFonts w:asciiTheme="minorHAnsi" w:hAnsiTheme="minorHAnsi" w:cstheme="minorHAnsi"/>
                <w:bCs/>
                <w:sz w:val="20"/>
                <w:szCs w:val="20"/>
              </w:rPr>
              <w:t xml:space="preserve">ταχύτερη απονομή της δικαιοσύνης. </w:t>
            </w:r>
          </w:p>
          <w:p w14:paraId="69E17652" w14:textId="77777777" w:rsidR="00121AA7" w:rsidRPr="008E2284" w:rsidRDefault="00121AA7" w:rsidP="00121AA7">
            <w:pPr>
              <w:pStyle w:val="ListParagraph"/>
              <w:numPr>
                <w:ilvl w:val="0"/>
                <w:numId w:val="34"/>
              </w:numPr>
              <w:ind w:left="316" w:hanging="282"/>
              <w:contextualSpacing w:val="0"/>
              <w:jc w:val="both"/>
              <w:rPr>
                <w:rFonts w:asciiTheme="minorHAnsi" w:hAnsiTheme="minorHAnsi" w:cstheme="minorHAnsi"/>
                <w:bCs/>
                <w:sz w:val="20"/>
                <w:szCs w:val="20"/>
              </w:rPr>
            </w:pPr>
            <w:r w:rsidRPr="008E2284">
              <w:rPr>
                <w:rFonts w:asciiTheme="minorHAnsi" w:hAnsiTheme="minorHAnsi" w:cstheme="minorHAnsi"/>
                <w:bCs/>
                <w:sz w:val="20"/>
                <w:szCs w:val="20"/>
              </w:rPr>
              <w:t>Ένταξη στη λειτουργία του κράτους της στρατηγικής για την απλούστευση του ρυθμιστικού περιβάλλοντος που αφορά στην επιχειρηματικότητα και ειδικά στη βιομηχανία.</w:t>
            </w:r>
          </w:p>
          <w:p w14:paraId="098506CD" w14:textId="77777777" w:rsidR="00121AA7" w:rsidRPr="008E2284" w:rsidRDefault="00121AA7" w:rsidP="00121AA7">
            <w:pPr>
              <w:pStyle w:val="ListParagraph"/>
              <w:numPr>
                <w:ilvl w:val="0"/>
                <w:numId w:val="34"/>
              </w:numPr>
              <w:ind w:left="316" w:hanging="282"/>
              <w:contextualSpacing w:val="0"/>
              <w:jc w:val="both"/>
              <w:rPr>
                <w:rFonts w:asciiTheme="minorHAnsi" w:hAnsiTheme="minorHAnsi" w:cstheme="minorHAnsi"/>
                <w:bCs/>
                <w:sz w:val="20"/>
                <w:szCs w:val="20"/>
              </w:rPr>
            </w:pPr>
            <w:r w:rsidRPr="008E2284">
              <w:rPr>
                <w:rFonts w:asciiTheme="minorHAnsi" w:hAnsiTheme="minorHAnsi" w:cstheme="minorHAnsi"/>
                <w:bCs/>
                <w:sz w:val="20"/>
                <w:szCs w:val="20"/>
              </w:rPr>
              <w:t xml:space="preserve">Εκ των προτέρων αξιολόγηση των επιπτώσεων κάθε νέας νομοθετικής παρέμβασης στην ανταγωνιστικότητα των επιχειρήσεων, και ειδικά της βιομηχανίας. </w:t>
            </w:r>
          </w:p>
          <w:p w14:paraId="4F62A63C" w14:textId="77777777" w:rsidR="00121AA7" w:rsidRPr="008E2284" w:rsidRDefault="00121AA7" w:rsidP="00121AA7">
            <w:pPr>
              <w:pStyle w:val="ListParagraph"/>
              <w:numPr>
                <w:ilvl w:val="0"/>
                <w:numId w:val="34"/>
              </w:numPr>
              <w:ind w:left="316" w:hanging="282"/>
              <w:contextualSpacing w:val="0"/>
              <w:jc w:val="both"/>
              <w:rPr>
                <w:rFonts w:asciiTheme="minorHAnsi" w:hAnsiTheme="minorHAnsi" w:cstheme="minorHAnsi"/>
                <w:bCs/>
                <w:sz w:val="20"/>
                <w:szCs w:val="20"/>
              </w:rPr>
            </w:pPr>
            <w:r w:rsidRPr="008E2284">
              <w:rPr>
                <w:rFonts w:asciiTheme="minorHAnsi" w:hAnsiTheme="minorHAnsi" w:cstheme="minorHAnsi"/>
                <w:bCs/>
                <w:sz w:val="20"/>
                <w:szCs w:val="20"/>
              </w:rPr>
              <w:t>Ψηφιοποίηση των διαδικασιών αδειοδότησης, με ταυτόχρονη περαιτέρω απλούστευση του ισχύοντος πλαισίου.</w:t>
            </w:r>
          </w:p>
          <w:p w14:paraId="16903BBE" w14:textId="77777777" w:rsidR="00121AA7" w:rsidRPr="004E4B8D" w:rsidRDefault="00121AA7" w:rsidP="00121AA7">
            <w:pPr>
              <w:pStyle w:val="ListParagraph"/>
              <w:numPr>
                <w:ilvl w:val="0"/>
                <w:numId w:val="34"/>
              </w:numPr>
              <w:ind w:left="316" w:hanging="282"/>
              <w:contextualSpacing w:val="0"/>
              <w:jc w:val="both"/>
              <w:rPr>
                <w:rFonts w:asciiTheme="minorHAnsi" w:hAnsiTheme="minorHAnsi" w:cstheme="minorHAnsi"/>
                <w:bCs/>
                <w:sz w:val="20"/>
                <w:szCs w:val="20"/>
              </w:rPr>
            </w:pPr>
            <w:r w:rsidRPr="008E2284">
              <w:rPr>
                <w:rFonts w:asciiTheme="minorHAnsi" w:hAnsiTheme="minorHAnsi" w:cstheme="minorHAnsi"/>
                <w:bCs/>
                <w:sz w:val="20"/>
                <w:szCs w:val="20"/>
              </w:rPr>
              <w:t>Αποσαφήνιση των όρων περιβαλλοντικής αδειοδότησης, καθώς και των ζητημάτων χωροθέτησης βιομηχανικών επιχειρήσεων.</w:t>
            </w:r>
            <w:r w:rsidRPr="004E4B8D">
              <w:rPr>
                <w:rFonts w:asciiTheme="minorHAnsi" w:hAnsiTheme="minorHAnsi" w:cstheme="minorHAnsi"/>
                <w:bCs/>
                <w:sz w:val="20"/>
                <w:szCs w:val="20"/>
              </w:rPr>
              <w:t xml:space="preserve"> </w:t>
            </w:r>
          </w:p>
        </w:tc>
      </w:tr>
      <w:tr w:rsidR="0032702D" w:rsidRPr="0032702D" w14:paraId="5AAEBB99" w14:textId="77777777" w:rsidTr="00390DC9">
        <w:trPr>
          <w:trHeight w:val="397"/>
          <w:tblHeader/>
        </w:trPr>
        <w:tc>
          <w:tcPr>
            <w:tcW w:w="10207" w:type="dxa"/>
            <w:gridSpan w:val="3"/>
            <w:shd w:val="clear" w:color="auto" w:fill="FFFFFF" w:themeFill="background1"/>
            <w:vAlign w:val="center"/>
          </w:tcPr>
          <w:p w14:paraId="4F8C7699" w14:textId="43C0664C" w:rsidR="00121AA7" w:rsidRPr="0032702D" w:rsidRDefault="00C93A70" w:rsidP="0032702D">
            <w:pPr>
              <w:jc w:val="center"/>
              <w:rPr>
                <w:rFonts w:asciiTheme="minorHAnsi" w:hAnsiTheme="minorHAnsi" w:cstheme="minorHAnsi"/>
                <w:b/>
                <w:color w:val="FF0000"/>
                <w:sz w:val="24"/>
              </w:rPr>
            </w:pPr>
            <w:r w:rsidRPr="0032702D">
              <w:rPr>
                <w:rFonts w:asciiTheme="minorHAnsi" w:hAnsiTheme="minorHAnsi" w:cstheme="minorHAnsi"/>
                <w:b/>
                <w:color w:val="FF0000"/>
                <w:sz w:val="24"/>
              </w:rPr>
              <w:t>7</w:t>
            </w:r>
            <w:r w:rsidR="00121AA7" w:rsidRPr="0032702D">
              <w:rPr>
                <w:rFonts w:asciiTheme="minorHAnsi" w:hAnsiTheme="minorHAnsi" w:cstheme="minorHAnsi"/>
                <w:b/>
                <w:color w:val="FF0000"/>
                <w:sz w:val="24"/>
              </w:rPr>
              <w:t>. Βιώσιμη Ανάπτυξη</w:t>
            </w:r>
          </w:p>
        </w:tc>
      </w:tr>
      <w:tr w:rsidR="00121AA7" w:rsidRPr="008E3678" w14:paraId="330163CC" w14:textId="77777777" w:rsidTr="00121AA7">
        <w:trPr>
          <w:trHeight w:val="118"/>
        </w:trPr>
        <w:tc>
          <w:tcPr>
            <w:tcW w:w="2836" w:type="dxa"/>
            <w:shd w:val="clear" w:color="auto" w:fill="auto"/>
          </w:tcPr>
          <w:p w14:paraId="7C5FCB9F" w14:textId="77777777" w:rsidR="00121AA7" w:rsidRPr="008E2284"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 xml:space="preserve">Η </w:t>
            </w:r>
            <w:r w:rsidRPr="008E2284">
              <w:rPr>
                <w:rFonts w:asciiTheme="minorHAnsi" w:hAnsiTheme="minorHAnsi" w:cstheme="minorHAnsi"/>
                <w:b/>
                <w:sz w:val="20"/>
                <w:szCs w:val="20"/>
              </w:rPr>
              <w:t>«βιώσιμη ανάπτυξη»</w:t>
            </w:r>
            <w:r w:rsidRPr="008E2284">
              <w:rPr>
                <w:rFonts w:asciiTheme="minorHAnsi" w:hAnsiTheme="minorHAnsi" w:cstheme="minorHAnsi"/>
                <w:bCs/>
                <w:sz w:val="20"/>
                <w:szCs w:val="20"/>
              </w:rPr>
              <w:t xml:space="preserve"> συνδέεται πλέον άμεσα με την ουσιαστική και μακροχρόνια βιωσιμότητα όλων των επιχειρήσεων ανεξάρτητα από το μέγεθός τους. </w:t>
            </w:r>
          </w:p>
          <w:p w14:paraId="02139A50" w14:textId="77777777" w:rsidR="00121AA7" w:rsidRPr="008E2284" w:rsidRDefault="00121AA7" w:rsidP="00297EE1">
            <w:pPr>
              <w:jc w:val="both"/>
              <w:rPr>
                <w:rFonts w:asciiTheme="minorHAnsi" w:hAnsiTheme="minorHAnsi" w:cstheme="minorHAnsi"/>
                <w:bCs/>
                <w:sz w:val="20"/>
                <w:szCs w:val="20"/>
              </w:rPr>
            </w:pPr>
          </w:p>
          <w:p w14:paraId="451392CE" w14:textId="77777777" w:rsidR="00121AA7" w:rsidRPr="008E2284" w:rsidRDefault="00121AA7" w:rsidP="00297EE1">
            <w:pPr>
              <w:jc w:val="both"/>
              <w:rPr>
                <w:rFonts w:asciiTheme="minorHAnsi" w:hAnsiTheme="minorHAnsi" w:cstheme="minorHAnsi"/>
                <w:b/>
                <w:sz w:val="20"/>
                <w:szCs w:val="20"/>
              </w:rPr>
            </w:pPr>
            <w:r w:rsidRPr="008E2284">
              <w:rPr>
                <w:rFonts w:asciiTheme="minorHAnsi" w:hAnsiTheme="minorHAnsi" w:cstheme="minorHAnsi"/>
                <w:bCs/>
                <w:sz w:val="20"/>
                <w:szCs w:val="20"/>
              </w:rPr>
              <w:t xml:space="preserve">Το τρίπτυχο: </w:t>
            </w:r>
          </w:p>
          <w:p w14:paraId="1AF3B4F8" w14:textId="77777777" w:rsidR="00121AA7" w:rsidRPr="008E2284" w:rsidRDefault="00121AA7" w:rsidP="00121AA7">
            <w:pPr>
              <w:pStyle w:val="ListParagraph"/>
              <w:numPr>
                <w:ilvl w:val="0"/>
                <w:numId w:val="33"/>
              </w:numPr>
              <w:ind w:left="318" w:hanging="284"/>
              <w:contextualSpacing w:val="0"/>
              <w:jc w:val="both"/>
              <w:rPr>
                <w:rFonts w:asciiTheme="minorHAnsi" w:hAnsiTheme="minorHAnsi" w:cstheme="minorHAnsi"/>
                <w:b/>
                <w:sz w:val="20"/>
                <w:szCs w:val="20"/>
              </w:rPr>
            </w:pPr>
            <w:r w:rsidRPr="008E2284">
              <w:rPr>
                <w:rFonts w:asciiTheme="minorHAnsi" w:hAnsiTheme="minorHAnsi" w:cstheme="minorHAnsi"/>
                <w:b/>
                <w:sz w:val="20"/>
                <w:szCs w:val="20"/>
              </w:rPr>
              <w:t xml:space="preserve">«βιώσιμη ανάπτυξη», </w:t>
            </w:r>
          </w:p>
          <w:p w14:paraId="12724731" w14:textId="77777777" w:rsidR="00121AA7" w:rsidRPr="008E2284" w:rsidRDefault="00121AA7" w:rsidP="00121AA7">
            <w:pPr>
              <w:pStyle w:val="ListParagraph"/>
              <w:numPr>
                <w:ilvl w:val="0"/>
                <w:numId w:val="33"/>
              </w:numPr>
              <w:ind w:left="318" w:hanging="284"/>
              <w:contextualSpacing w:val="0"/>
              <w:jc w:val="both"/>
              <w:rPr>
                <w:rFonts w:asciiTheme="minorHAnsi" w:hAnsiTheme="minorHAnsi" w:cstheme="minorHAnsi"/>
                <w:b/>
                <w:sz w:val="20"/>
                <w:szCs w:val="20"/>
              </w:rPr>
            </w:pPr>
            <w:r w:rsidRPr="008E2284">
              <w:rPr>
                <w:rFonts w:asciiTheme="minorHAnsi" w:hAnsiTheme="minorHAnsi" w:cstheme="minorHAnsi"/>
                <w:b/>
                <w:sz w:val="20"/>
                <w:szCs w:val="20"/>
              </w:rPr>
              <w:t xml:space="preserve">«κλιματική κρίση», και, </w:t>
            </w:r>
          </w:p>
          <w:p w14:paraId="4521E603" w14:textId="77777777" w:rsidR="00121AA7" w:rsidRPr="008E2284" w:rsidRDefault="00121AA7" w:rsidP="00121AA7">
            <w:pPr>
              <w:pStyle w:val="ListParagraph"/>
              <w:numPr>
                <w:ilvl w:val="0"/>
                <w:numId w:val="33"/>
              </w:numPr>
              <w:ind w:left="318" w:hanging="284"/>
              <w:contextualSpacing w:val="0"/>
              <w:jc w:val="both"/>
              <w:rPr>
                <w:rFonts w:asciiTheme="minorHAnsi" w:hAnsiTheme="minorHAnsi" w:cstheme="minorHAnsi"/>
                <w:b/>
                <w:sz w:val="20"/>
                <w:szCs w:val="20"/>
              </w:rPr>
            </w:pPr>
            <w:r w:rsidRPr="008E2284">
              <w:rPr>
                <w:rFonts w:asciiTheme="minorHAnsi" w:hAnsiTheme="minorHAnsi" w:cstheme="minorHAnsi"/>
                <w:b/>
                <w:sz w:val="20"/>
                <w:szCs w:val="20"/>
              </w:rPr>
              <w:t xml:space="preserve">«πράσινη οικονομία», </w:t>
            </w:r>
          </w:p>
          <w:p w14:paraId="4081D84F" w14:textId="77777777" w:rsidR="00121AA7" w:rsidRPr="004E4B8D" w:rsidRDefault="00121AA7" w:rsidP="00297EE1">
            <w:pPr>
              <w:ind w:left="34"/>
              <w:jc w:val="both"/>
              <w:rPr>
                <w:rFonts w:asciiTheme="minorHAnsi" w:hAnsiTheme="minorHAnsi" w:cstheme="minorHAnsi"/>
                <w:bCs/>
                <w:sz w:val="20"/>
                <w:szCs w:val="20"/>
              </w:rPr>
            </w:pPr>
            <w:r w:rsidRPr="004E4B8D">
              <w:rPr>
                <w:rFonts w:asciiTheme="minorHAnsi" w:hAnsiTheme="minorHAnsi" w:cstheme="minorHAnsi"/>
                <w:bCs/>
                <w:sz w:val="20"/>
                <w:szCs w:val="20"/>
              </w:rPr>
              <w:t xml:space="preserve">διαμορφώνει ένα νέο επιχειρηματικό πρότυπο και αποτελεί πηγή δημιουργίας ανταγωνιστικού πλεονεκτήματος. </w:t>
            </w:r>
          </w:p>
        </w:tc>
        <w:tc>
          <w:tcPr>
            <w:tcW w:w="3118" w:type="dxa"/>
            <w:shd w:val="clear" w:color="auto" w:fill="auto"/>
          </w:tcPr>
          <w:p w14:paraId="505412A9" w14:textId="77777777" w:rsidR="00121AA7" w:rsidRPr="004E4B8D" w:rsidRDefault="00121AA7" w:rsidP="00297EE1">
            <w:pPr>
              <w:jc w:val="both"/>
              <w:rPr>
                <w:rFonts w:asciiTheme="minorHAnsi" w:hAnsiTheme="minorHAnsi" w:cstheme="minorHAnsi"/>
                <w:bCs/>
                <w:sz w:val="20"/>
                <w:szCs w:val="20"/>
              </w:rPr>
            </w:pPr>
            <w:r w:rsidRPr="004E4B8D">
              <w:rPr>
                <w:rFonts w:asciiTheme="minorHAnsi" w:hAnsiTheme="minorHAnsi" w:cstheme="minorHAnsi"/>
                <w:bCs/>
                <w:sz w:val="20"/>
                <w:szCs w:val="20"/>
              </w:rPr>
              <w:t>Σημαντικές προκλήσεις για τις επιχειρήσεις, είναι:</w:t>
            </w:r>
          </w:p>
          <w:p w14:paraId="327B7B27"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Η ένταξη στη στρατηγική τους δράσεων για την επίτευξη ρυθμών βιώσιμης ανάπτυξης. </w:t>
            </w:r>
          </w:p>
          <w:p w14:paraId="46305B16"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Η κανονιστική τους συμμόρφωση με τα κριτήρια «</w:t>
            </w:r>
            <w:r w:rsidRPr="004E4B8D">
              <w:rPr>
                <w:rFonts w:asciiTheme="minorHAnsi" w:hAnsiTheme="minorHAnsi" w:cstheme="minorHAnsi"/>
                <w:bCs/>
                <w:sz w:val="20"/>
                <w:szCs w:val="20"/>
                <w:lang w:val="en-US"/>
              </w:rPr>
              <w:t>ESG</w:t>
            </w:r>
            <w:r w:rsidRPr="004E4B8D">
              <w:rPr>
                <w:rFonts w:asciiTheme="minorHAnsi" w:hAnsiTheme="minorHAnsi" w:cstheme="minorHAnsi"/>
                <w:bCs/>
                <w:sz w:val="20"/>
                <w:szCs w:val="20"/>
              </w:rPr>
              <w:t>».</w:t>
            </w:r>
          </w:p>
          <w:p w14:paraId="4823459D"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Η κατανόηση από τα στελέχη, ότι η υιοθέτηση των αρχών της βιώσιμης ανάπτυξης επηρεάζει θετικά την επιχειρησιακή λειτουργία και τις επενδύσεις.</w:t>
            </w:r>
          </w:p>
          <w:p w14:paraId="0C328416" w14:textId="77777777" w:rsidR="00121AA7" w:rsidRPr="004E4B8D" w:rsidRDefault="00121AA7" w:rsidP="00121AA7">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Η έλλειψη δεξιοτήτων και στελεχών με  κατάλληλες γνώσεις για την εφαρμογή των κριτηρίων «</w:t>
            </w:r>
            <w:r w:rsidRPr="004E4B8D">
              <w:rPr>
                <w:rFonts w:asciiTheme="minorHAnsi" w:hAnsiTheme="minorHAnsi" w:cstheme="minorHAnsi"/>
                <w:bCs/>
                <w:sz w:val="20"/>
                <w:szCs w:val="20"/>
                <w:lang w:val="en-US"/>
              </w:rPr>
              <w:t>ESG</w:t>
            </w:r>
            <w:r w:rsidRPr="004E4B8D">
              <w:rPr>
                <w:rFonts w:asciiTheme="minorHAnsi" w:hAnsiTheme="minorHAnsi" w:cstheme="minorHAnsi"/>
                <w:bCs/>
                <w:sz w:val="20"/>
                <w:szCs w:val="20"/>
              </w:rPr>
              <w:t>» στις επιχειρήσεις.</w:t>
            </w:r>
          </w:p>
        </w:tc>
        <w:tc>
          <w:tcPr>
            <w:tcW w:w="4253" w:type="dxa"/>
            <w:shd w:val="clear" w:color="auto" w:fill="auto"/>
          </w:tcPr>
          <w:p w14:paraId="0901F0A0"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Ανάληψη καμπάνιας ενημέρωσης βιομηχανικών επιχειρήσεων για τα οφέλη από την εφαρμογή των αρχών της «βιώσιμης ανάπτυξης» και της «κυκλικής οικονομίας».</w:t>
            </w:r>
          </w:p>
          <w:p w14:paraId="2A78D92E"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Πρόγραμμα επιχορήγησης επιχειρήσεων για τη συμμόρφωσή τους με τις αρχές και τα κριτήρια «</w:t>
            </w:r>
            <w:r w:rsidRPr="004E4B8D">
              <w:rPr>
                <w:rFonts w:asciiTheme="minorHAnsi" w:hAnsiTheme="minorHAnsi" w:cstheme="minorHAnsi"/>
                <w:bCs/>
                <w:sz w:val="20"/>
                <w:szCs w:val="20"/>
                <w:lang w:val="en-US"/>
              </w:rPr>
              <w:t>ESG</w:t>
            </w:r>
            <w:r w:rsidRPr="004E4B8D">
              <w:rPr>
                <w:rFonts w:asciiTheme="minorHAnsi" w:hAnsiTheme="minorHAnsi" w:cstheme="minorHAnsi"/>
                <w:bCs/>
                <w:sz w:val="20"/>
                <w:szCs w:val="20"/>
              </w:rPr>
              <w:t>».</w:t>
            </w:r>
          </w:p>
          <w:p w14:paraId="7930963F"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Σχεδιασμός και υλοποίηση προγραμμάτων εκπαίδευσης και κατάρτισης, για την αναβάθμιση δεξιοτήτων στελεχών για την εφαρμογή των κριτηρίων «</w:t>
            </w:r>
            <w:r w:rsidRPr="004E4B8D">
              <w:rPr>
                <w:rFonts w:asciiTheme="minorHAnsi" w:hAnsiTheme="minorHAnsi" w:cstheme="minorHAnsi"/>
                <w:bCs/>
                <w:sz w:val="20"/>
                <w:szCs w:val="20"/>
                <w:lang w:val="en-US"/>
              </w:rPr>
              <w:t>ESG</w:t>
            </w:r>
            <w:r w:rsidRPr="004E4B8D">
              <w:rPr>
                <w:rFonts w:asciiTheme="minorHAnsi" w:hAnsiTheme="minorHAnsi" w:cstheme="minorHAnsi"/>
                <w:bCs/>
                <w:sz w:val="20"/>
                <w:szCs w:val="20"/>
              </w:rPr>
              <w:t>».</w:t>
            </w:r>
          </w:p>
          <w:p w14:paraId="5800D53D" w14:textId="77777777" w:rsidR="00121AA7" w:rsidRPr="004E4B8D" w:rsidRDefault="00121AA7" w:rsidP="00121AA7">
            <w:pPr>
              <w:pStyle w:val="ListParagraph"/>
              <w:numPr>
                <w:ilvl w:val="0"/>
                <w:numId w:val="34"/>
              </w:numPr>
              <w:ind w:left="317" w:hanging="283"/>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Αυξημένη χρηματοδότηση επενδύσεων και προγραμμάτων, για επιχειρήσεις που εφαρμόζουν τις αρχές της «κυκλικής οικονομίας» και παράγουν προϊόντα «κυκλικότητας».</w:t>
            </w:r>
          </w:p>
        </w:tc>
      </w:tr>
    </w:tbl>
    <w:p w14:paraId="416865A5" w14:textId="77777777" w:rsidR="00390DC9" w:rsidRDefault="00390DC9">
      <w:r>
        <w:br w:type="page"/>
      </w:r>
    </w:p>
    <w:tbl>
      <w:tblPr>
        <w:tblStyle w:val="TableGrid"/>
        <w:tblW w:w="10207" w:type="dxa"/>
        <w:tblInd w:w="-289" w:type="dxa"/>
        <w:tblLook w:val="04A0" w:firstRow="1" w:lastRow="0" w:firstColumn="1" w:lastColumn="0" w:noHBand="0" w:noVBand="1"/>
      </w:tblPr>
      <w:tblGrid>
        <w:gridCol w:w="2836"/>
        <w:gridCol w:w="3118"/>
        <w:gridCol w:w="4253"/>
      </w:tblGrid>
      <w:tr w:rsidR="00390DC9" w:rsidRPr="008E3678" w14:paraId="1E3893B3" w14:textId="77777777" w:rsidTr="00EC598C">
        <w:trPr>
          <w:trHeight w:val="119"/>
          <w:tblHeader/>
        </w:trPr>
        <w:tc>
          <w:tcPr>
            <w:tcW w:w="2836" w:type="dxa"/>
            <w:shd w:val="clear" w:color="auto" w:fill="D9D9D9" w:themeFill="background1" w:themeFillShade="D9"/>
          </w:tcPr>
          <w:p w14:paraId="5945B06A"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lastRenderedPageBreak/>
              <w:t>Διαπίστωση</w:t>
            </w:r>
          </w:p>
        </w:tc>
        <w:tc>
          <w:tcPr>
            <w:tcW w:w="3118" w:type="dxa"/>
            <w:shd w:val="clear" w:color="auto" w:fill="D9D9D9" w:themeFill="background1" w:themeFillShade="D9"/>
          </w:tcPr>
          <w:p w14:paraId="618DBCD4"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Προκλήσεις</w:t>
            </w:r>
          </w:p>
        </w:tc>
        <w:tc>
          <w:tcPr>
            <w:tcW w:w="4253" w:type="dxa"/>
            <w:shd w:val="clear" w:color="auto" w:fill="D9D9D9" w:themeFill="background1" w:themeFillShade="D9"/>
          </w:tcPr>
          <w:p w14:paraId="1592078E" w14:textId="77777777" w:rsidR="00390DC9" w:rsidRPr="004E4B8D" w:rsidRDefault="00390DC9" w:rsidP="00EC598C">
            <w:pPr>
              <w:jc w:val="center"/>
              <w:rPr>
                <w:rFonts w:asciiTheme="minorHAnsi" w:hAnsiTheme="minorHAnsi" w:cstheme="minorHAnsi"/>
                <w:b/>
                <w:sz w:val="20"/>
                <w:szCs w:val="20"/>
              </w:rPr>
            </w:pPr>
            <w:r w:rsidRPr="004E4B8D">
              <w:rPr>
                <w:rFonts w:asciiTheme="minorHAnsi" w:hAnsiTheme="minorHAnsi" w:cstheme="minorHAnsi"/>
                <w:b/>
                <w:sz w:val="20"/>
                <w:szCs w:val="20"/>
              </w:rPr>
              <w:t>Προτάσεις επίλυσης του προβλήματος</w:t>
            </w:r>
          </w:p>
        </w:tc>
      </w:tr>
      <w:tr w:rsidR="0032702D" w:rsidRPr="0032702D" w14:paraId="3CBDD94D" w14:textId="77777777" w:rsidTr="00390DC9">
        <w:trPr>
          <w:trHeight w:val="397"/>
          <w:tblHeader/>
        </w:trPr>
        <w:tc>
          <w:tcPr>
            <w:tcW w:w="10207" w:type="dxa"/>
            <w:gridSpan w:val="3"/>
            <w:shd w:val="clear" w:color="auto" w:fill="FFFFFF" w:themeFill="background1"/>
            <w:vAlign w:val="center"/>
          </w:tcPr>
          <w:p w14:paraId="69DF75FA" w14:textId="72A86645" w:rsidR="00121AA7" w:rsidRPr="0032702D" w:rsidRDefault="00C93A70" w:rsidP="0032702D">
            <w:pPr>
              <w:jc w:val="center"/>
              <w:rPr>
                <w:rFonts w:asciiTheme="minorHAnsi" w:hAnsiTheme="minorHAnsi" w:cstheme="minorHAnsi"/>
                <w:b/>
                <w:color w:val="FF0000"/>
                <w:sz w:val="24"/>
              </w:rPr>
            </w:pPr>
            <w:r w:rsidRPr="0032702D">
              <w:rPr>
                <w:rFonts w:asciiTheme="minorHAnsi" w:hAnsiTheme="minorHAnsi" w:cstheme="minorHAnsi"/>
                <w:b/>
                <w:color w:val="FF0000"/>
                <w:sz w:val="24"/>
              </w:rPr>
              <w:t>8</w:t>
            </w:r>
            <w:r w:rsidR="00121AA7" w:rsidRPr="0032702D">
              <w:rPr>
                <w:rFonts w:asciiTheme="minorHAnsi" w:hAnsiTheme="minorHAnsi" w:cstheme="minorHAnsi"/>
                <w:b/>
                <w:color w:val="FF0000"/>
                <w:sz w:val="24"/>
              </w:rPr>
              <w:t>. Κόστος Ενέργειας</w:t>
            </w:r>
          </w:p>
        </w:tc>
      </w:tr>
      <w:tr w:rsidR="00121AA7" w:rsidRPr="008E3678" w14:paraId="24C1A28C" w14:textId="77777777" w:rsidTr="00121AA7">
        <w:trPr>
          <w:trHeight w:val="118"/>
        </w:trPr>
        <w:tc>
          <w:tcPr>
            <w:tcW w:w="2836" w:type="dxa"/>
            <w:shd w:val="clear" w:color="auto" w:fill="auto"/>
          </w:tcPr>
          <w:p w14:paraId="5A4644E0" w14:textId="77777777" w:rsidR="00121AA7" w:rsidRPr="004E4B8D" w:rsidRDefault="00121AA7" w:rsidP="00297EE1">
            <w:pPr>
              <w:jc w:val="both"/>
              <w:rPr>
                <w:rFonts w:asciiTheme="minorHAnsi" w:hAnsiTheme="minorHAnsi" w:cstheme="minorHAnsi"/>
                <w:sz w:val="20"/>
                <w:szCs w:val="20"/>
              </w:rPr>
            </w:pPr>
            <w:r w:rsidRPr="004E4B8D">
              <w:rPr>
                <w:rFonts w:asciiTheme="minorHAnsi" w:hAnsiTheme="minorHAnsi" w:cstheme="minorHAnsi"/>
                <w:sz w:val="20"/>
                <w:szCs w:val="20"/>
              </w:rPr>
              <w:t xml:space="preserve">Οι υπέρογκες αυξήσεις στα </w:t>
            </w:r>
            <w:r w:rsidRPr="008E2284">
              <w:rPr>
                <w:rFonts w:asciiTheme="minorHAnsi" w:hAnsiTheme="minorHAnsi" w:cstheme="minorHAnsi"/>
                <w:b/>
                <w:bCs/>
                <w:sz w:val="20"/>
                <w:szCs w:val="20"/>
              </w:rPr>
              <w:t>τιμολόγια ενέργειας</w:t>
            </w:r>
            <w:r w:rsidRPr="004E4B8D">
              <w:rPr>
                <w:rFonts w:asciiTheme="minorHAnsi" w:hAnsiTheme="minorHAnsi" w:cstheme="minorHAnsi"/>
                <w:sz w:val="20"/>
                <w:szCs w:val="20"/>
              </w:rPr>
              <w:t xml:space="preserve"> τα προηγούμενα χρόνια, δημιούργησαν προβλήματα λειτουργίας σε πολλούς βιομηχανικούς κλάδους, ενώ διεθνείς προβλέψεις κάνουν λόγο για ενδεχόμενη αύξηση των τιμών της ενέργειας τον προσεχή χειμώνα. </w:t>
            </w:r>
          </w:p>
        </w:tc>
        <w:tc>
          <w:tcPr>
            <w:tcW w:w="3118" w:type="dxa"/>
            <w:shd w:val="clear" w:color="auto" w:fill="auto"/>
          </w:tcPr>
          <w:p w14:paraId="54CD2069" w14:textId="77777777" w:rsidR="00121AA7" w:rsidRPr="004E4B8D" w:rsidRDefault="00121AA7" w:rsidP="00297EE1">
            <w:pPr>
              <w:pStyle w:val="ListParagraph"/>
              <w:numPr>
                <w:ilvl w:val="0"/>
                <w:numId w:val="33"/>
              </w:numPr>
              <w:ind w:left="176" w:hanging="14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Πιθανές εκ νέου υπέρογκες αυξήσεις των τιμολογίων ενέργειας μπορούν να οδηγήσουν σε κλείσιμο μεταποιητικών επιχειρήσεων που χρησιμοποιούν τόσο «Υψηλή» όσο και «Μέση» Τάση. </w:t>
            </w:r>
          </w:p>
          <w:p w14:paraId="5C615095" w14:textId="77777777" w:rsidR="00121AA7" w:rsidRPr="004E4B8D" w:rsidRDefault="00121AA7" w:rsidP="00297EE1">
            <w:pPr>
              <w:pStyle w:val="ListParagraph"/>
              <w:numPr>
                <w:ilvl w:val="0"/>
                <w:numId w:val="33"/>
              </w:numPr>
              <w:ind w:left="176" w:hanging="142"/>
              <w:contextualSpacing w:val="0"/>
              <w:jc w:val="both"/>
              <w:rPr>
                <w:rFonts w:asciiTheme="minorHAnsi" w:hAnsiTheme="minorHAnsi" w:cstheme="minorHAnsi"/>
                <w:sz w:val="20"/>
                <w:szCs w:val="20"/>
              </w:rPr>
            </w:pPr>
            <w:r w:rsidRPr="004E4B8D">
              <w:rPr>
                <w:rFonts w:asciiTheme="minorHAnsi" w:hAnsiTheme="minorHAnsi" w:cstheme="minorHAnsi"/>
                <w:bCs/>
                <w:sz w:val="20"/>
                <w:szCs w:val="20"/>
              </w:rPr>
              <w:t>Οι αρνητικές επιπτώσεις στην εθνική οικονομία και στις τοπικές κοινωνίες, τόσο από ανεπάρκεια εφοδιασμού σε ενέργεια, όσο και σε αυξημένα τιμολόγια ενέργειας, θα διευρύνουν περαιτέρω τις σημερινές περιφερειακές ανισότητες και τη λαϊκή δυσαρέσκεια.</w:t>
            </w:r>
          </w:p>
        </w:tc>
        <w:tc>
          <w:tcPr>
            <w:tcW w:w="4253" w:type="dxa"/>
            <w:shd w:val="clear" w:color="auto" w:fill="auto"/>
          </w:tcPr>
          <w:p w14:paraId="1C5D484F" w14:textId="77777777" w:rsidR="00121AA7" w:rsidRPr="004E4B8D" w:rsidRDefault="00121AA7" w:rsidP="00297EE1">
            <w:pPr>
              <w:pStyle w:val="ListParagraph"/>
              <w:numPr>
                <w:ilvl w:val="0"/>
                <w:numId w:val="34"/>
              </w:numPr>
              <w:ind w:left="316" w:hanging="282"/>
              <w:contextualSpacing w:val="0"/>
              <w:jc w:val="both"/>
              <w:rPr>
                <w:rFonts w:asciiTheme="minorHAnsi" w:hAnsiTheme="minorHAnsi" w:cstheme="minorHAnsi"/>
                <w:bCs/>
                <w:sz w:val="20"/>
                <w:szCs w:val="20"/>
              </w:rPr>
            </w:pPr>
            <w:r w:rsidRPr="008E2284">
              <w:rPr>
                <w:rFonts w:asciiTheme="minorHAnsi" w:hAnsiTheme="minorHAnsi" w:cstheme="minorHAnsi"/>
                <w:bCs/>
                <w:sz w:val="20"/>
                <w:szCs w:val="20"/>
              </w:rPr>
              <w:t>Εκσυγχρονισμός του θεσμικού πλαισίου για την εγκατάσταση συστημάτων ΑΠΕ</w:t>
            </w:r>
            <w:r w:rsidRPr="004E4B8D">
              <w:rPr>
                <w:rFonts w:asciiTheme="minorHAnsi" w:hAnsiTheme="minorHAnsi" w:cstheme="minorHAnsi"/>
                <w:bCs/>
                <w:sz w:val="20"/>
                <w:szCs w:val="20"/>
              </w:rPr>
              <w:t xml:space="preserve"> από επιχειρήσεις.</w:t>
            </w:r>
          </w:p>
          <w:p w14:paraId="41ABD2EB" w14:textId="77777777" w:rsidR="00121AA7" w:rsidRPr="004E4B8D" w:rsidRDefault="00121AA7" w:rsidP="00297EE1">
            <w:pPr>
              <w:pStyle w:val="ListParagraph"/>
              <w:numPr>
                <w:ilvl w:val="0"/>
                <w:numId w:val="34"/>
              </w:numPr>
              <w:ind w:left="316" w:hanging="28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Κατάργηση του πλαφόν στα διμερή συμβόλαια των βιομηχανιών με παραγωγούς.</w:t>
            </w:r>
          </w:p>
          <w:p w14:paraId="77C76180" w14:textId="77777777" w:rsidR="00121AA7" w:rsidRPr="004E4B8D" w:rsidRDefault="00121AA7" w:rsidP="00297EE1">
            <w:pPr>
              <w:pStyle w:val="ListParagraph"/>
              <w:numPr>
                <w:ilvl w:val="0"/>
                <w:numId w:val="34"/>
              </w:numPr>
              <w:ind w:left="316" w:hanging="28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Η συμμετοχή μονάδων στους επόμενους διαγωνισμούς ΑΠΕ να λαμβάνει χώρα με έως 50% της ισχύος τους.</w:t>
            </w:r>
          </w:p>
          <w:p w14:paraId="36F46D6D" w14:textId="77777777" w:rsidR="00121AA7" w:rsidRPr="004E4B8D" w:rsidRDefault="00121AA7" w:rsidP="00297EE1">
            <w:pPr>
              <w:pStyle w:val="ListParagraph"/>
              <w:numPr>
                <w:ilvl w:val="0"/>
                <w:numId w:val="34"/>
              </w:numPr>
              <w:ind w:left="316" w:hanging="28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 xml:space="preserve">Επιτάχυνση της έγκρισης του μηχανισμού κρατικής ενίσχυσης των βιομηχανικών </w:t>
            </w:r>
            <w:proofErr w:type="spellStart"/>
            <w:r w:rsidRPr="004E4B8D">
              <w:rPr>
                <w:rFonts w:asciiTheme="minorHAnsi" w:hAnsiTheme="minorHAnsi" w:cstheme="minorHAnsi"/>
                <w:bCs/>
                <w:sz w:val="20"/>
                <w:szCs w:val="20"/>
              </w:rPr>
              <w:t>PPAs</w:t>
            </w:r>
            <w:proofErr w:type="spellEnd"/>
            <w:r w:rsidRPr="004E4B8D">
              <w:rPr>
                <w:rFonts w:asciiTheme="minorHAnsi" w:hAnsiTheme="minorHAnsi" w:cstheme="minorHAnsi"/>
                <w:bCs/>
                <w:sz w:val="20"/>
                <w:szCs w:val="20"/>
              </w:rPr>
              <w:t xml:space="preserve"> .</w:t>
            </w:r>
          </w:p>
          <w:p w14:paraId="5A16C73D" w14:textId="77777777" w:rsidR="00121AA7" w:rsidRPr="004E4B8D" w:rsidRDefault="00121AA7" w:rsidP="00297EE1">
            <w:pPr>
              <w:pStyle w:val="ListParagraph"/>
              <w:numPr>
                <w:ilvl w:val="0"/>
                <w:numId w:val="34"/>
              </w:numPr>
              <w:ind w:left="316" w:hanging="282"/>
              <w:contextualSpacing w:val="0"/>
              <w:jc w:val="both"/>
              <w:rPr>
                <w:rFonts w:asciiTheme="minorHAnsi" w:hAnsiTheme="minorHAnsi" w:cstheme="minorHAnsi"/>
                <w:bCs/>
                <w:sz w:val="20"/>
                <w:szCs w:val="20"/>
              </w:rPr>
            </w:pPr>
            <w:r w:rsidRPr="004E4B8D">
              <w:rPr>
                <w:rFonts w:asciiTheme="minorHAnsi" w:hAnsiTheme="minorHAnsi" w:cstheme="minorHAnsi"/>
                <w:bCs/>
                <w:sz w:val="20"/>
                <w:szCs w:val="20"/>
              </w:rPr>
              <w:t>Αντιστάθμιση του ενεργειακού κόστους για τις επιχειρήσεις, με την υιοθέτηση μιας τιμής στόχου μέσω της επικαιροποίησης της επιδότησης ανά τακτά χρονικά διαστήματα.</w:t>
            </w:r>
          </w:p>
          <w:p w14:paraId="36E6446E" w14:textId="77777777" w:rsidR="00121AA7" w:rsidRPr="00257325" w:rsidRDefault="00121AA7" w:rsidP="00297EE1">
            <w:pPr>
              <w:pStyle w:val="ListParagraph"/>
              <w:numPr>
                <w:ilvl w:val="0"/>
                <w:numId w:val="34"/>
              </w:numPr>
              <w:ind w:left="316" w:hanging="282"/>
              <w:contextualSpacing w:val="0"/>
              <w:jc w:val="both"/>
              <w:rPr>
                <w:rFonts w:asciiTheme="minorHAnsi" w:hAnsiTheme="minorHAnsi" w:cstheme="minorHAnsi"/>
                <w:sz w:val="20"/>
                <w:szCs w:val="20"/>
              </w:rPr>
            </w:pPr>
            <w:r w:rsidRPr="004E4B8D">
              <w:rPr>
                <w:rFonts w:asciiTheme="minorHAnsi" w:hAnsiTheme="minorHAnsi" w:cstheme="minorHAnsi"/>
                <w:bCs/>
                <w:sz w:val="20"/>
                <w:szCs w:val="20"/>
              </w:rPr>
              <w:t>Επαναφορά των χρεώσεων ΥΚΩ στα προ κρίσης επίπεδα.</w:t>
            </w:r>
          </w:p>
          <w:p w14:paraId="3ADBFE90" w14:textId="77777777" w:rsidR="00121AA7" w:rsidRPr="004E4B8D" w:rsidRDefault="00121AA7" w:rsidP="00297EE1">
            <w:pPr>
              <w:pStyle w:val="ListParagraph"/>
              <w:numPr>
                <w:ilvl w:val="0"/>
                <w:numId w:val="34"/>
              </w:numPr>
              <w:ind w:left="317" w:hanging="283"/>
              <w:contextualSpacing w:val="0"/>
              <w:jc w:val="both"/>
              <w:rPr>
                <w:rFonts w:asciiTheme="minorHAnsi" w:hAnsiTheme="minorHAnsi" w:cstheme="minorHAnsi"/>
                <w:sz w:val="20"/>
                <w:szCs w:val="20"/>
              </w:rPr>
            </w:pPr>
            <w:r w:rsidRPr="004E4B8D">
              <w:rPr>
                <w:rFonts w:asciiTheme="minorHAnsi" w:hAnsiTheme="minorHAnsi" w:cstheme="minorHAnsi"/>
                <w:bCs/>
                <w:sz w:val="20"/>
                <w:szCs w:val="20"/>
              </w:rPr>
              <w:t xml:space="preserve">Ειδική πρόβλεψη για προστασία των επιχειρήσεων από την πιθανή αύξηση των τιμών. </w:t>
            </w:r>
          </w:p>
        </w:tc>
      </w:tr>
    </w:tbl>
    <w:p w14:paraId="16D4035A" w14:textId="77777777" w:rsidR="00D172FA" w:rsidRDefault="00D172FA" w:rsidP="00290967">
      <w:pPr>
        <w:spacing w:after="60"/>
        <w:rPr>
          <w:rFonts w:asciiTheme="minorHAnsi" w:hAnsiTheme="minorHAnsi" w:cstheme="minorHAnsi"/>
          <w:sz w:val="24"/>
          <w:szCs w:val="28"/>
        </w:rPr>
      </w:pPr>
    </w:p>
    <w:p w14:paraId="5A202032" w14:textId="77777777" w:rsidR="00D172FA" w:rsidRDefault="00D172FA" w:rsidP="00290967">
      <w:pPr>
        <w:spacing w:after="60"/>
        <w:rPr>
          <w:rFonts w:asciiTheme="minorHAnsi" w:hAnsiTheme="minorHAnsi" w:cstheme="minorHAnsi"/>
          <w:sz w:val="24"/>
          <w:szCs w:val="28"/>
        </w:rPr>
      </w:pPr>
    </w:p>
    <w:p w14:paraId="5173EEDF" w14:textId="77777777" w:rsidR="00D172FA" w:rsidRDefault="00D172FA" w:rsidP="00290967">
      <w:pPr>
        <w:spacing w:after="60"/>
        <w:rPr>
          <w:rFonts w:asciiTheme="minorHAnsi" w:hAnsiTheme="minorHAnsi" w:cstheme="minorHAnsi"/>
          <w:sz w:val="24"/>
          <w:szCs w:val="28"/>
        </w:rPr>
      </w:pPr>
    </w:p>
    <w:p w14:paraId="75EFAD71" w14:textId="77777777" w:rsidR="00D172FA" w:rsidRDefault="00D172FA" w:rsidP="00290967">
      <w:pPr>
        <w:spacing w:after="60"/>
        <w:rPr>
          <w:rFonts w:asciiTheme="minorHAnsi" w:hAnsiTheme="minorHAnsi" w:cstheme="minorHAnsi"/>
          <w:sz w:val="24"/>
          <w:szCs w:val="28"/>
        </w:rPr>
      </w:pPr>
    </w:p>
    <w:p w14:paraId="043BA418" w14:textId="6DB71EE7" w:rsidR="007C2A67" w:rsidRDefault="007C2A67">
      <w:pPr>
        <w:rPr>
          <w:rFonts w:asciiTheme="minorHAnsi" w:hAnsiTheme="minorHAnsi" w:cstheme="minorHAnsi"/>
          <w:sz w:val="24"/>
          <w:szCs w:val="28"/>
        </w:rPr>
      </w:pPr>
      <w:r>
        <w:rPr>
          <w:rFonts w:asciiTheme="minorHAnsi" w:hAnsiTheme="minorHAnsi" w:cstheme="minorHAnsi"/>
          <w:sz w:val="24"/>
          <w:szCs w:val="28"/>
        </w:rPr>
        <w:br w:type="page"/>
      </w:r>
    </w:p>
    <w:p w14:paraId="3CFF1EC3" w14:textId="77777777" w:rsidR="007C2A67" w:rsidRPr="00B63630" w:rsidRDefault="007C2A67" w:rsidP="007C2A67">
      <w:pPr>
        <w:ind w:left="-142"/>
        <w:rPr>
          <w:rFonts w:asciiTheme="minorHAnsi" w:hAnsiTheme="minorHAnsi" w:cstheme="minorHAnsi"/>
          <w:sz w:val="24"/>
          <w:szCs w:val="28"/>
        </w:rPr>
      </w:pPr>
      <w:r w:rsidRPr="00B63630">
        <w:rPr>
          <w:rFonts w:asciiTheme="minorHAnsi" w:hAnsiTheme="minorHAnsi" w:cstheme="minorHAnsi"/>
          <w:b/>
          <w:bCs/>
          <w:sz w:val="28"/>
          <w:szCs w:val="32"/>
        </w:rPr>
        <w:lastRenderedPageBreak/>
        <w:t>Η ΔΙΕΥΡΥΝΣΗ ΤΩΝ ΠΕΡΙΦΕΡΕΙΑΚΩΝ ΑΝΙΣΟΤΗΤΩΝ ΤΗΝ ΟΚΤΑΕΤΙΑ 2015-2022</w:t>
      </w:r>
    </w:p>
    <w:p w14:paraId="224C00A0" w14:textId="77777777" w:rsidR="007C2A67" w:rsidRDefault="007C2A67" w:rsidP="007C2A67">
      <w:pPr>
        <w:ind w:left="-142"/>
        <w:jc w:val="both"/>
        <w:rPr>
          <w:rFonts w:asciiTheme="minorHAnsi" w:hAnsiTheme="minorHAnsi" w:cstheme="minorHAnsi"/>
          <w:sz w:val="24"/>
          <w:szCs w:val="28"/>
        </w:rPr>
      </w:pPr>
    </w:p>
    <w:p w14:paraId="58C0AF2C" w14:textId="77777777" w:rsidR="007C2A67" w:rsidRPr="00B63630" w:rsidRDefault="007C2A67" w:rsidP="007C2A67">
      <w:pPr>
        <w:spacing w:after="60"/>
        <w:ind w:left="-142"/>
        <w:jc w:val="both"/>
        <w:rPr>
          <w:rFonts w:asciiTheme="minorHAnsi" w:hAnsiTheme="minorHAnsi" w:cstheme="minorHAnsi"/>
          <w:sz w:val="24"/>
          <w:szCs w:val="28"/>
        </w:rPr>
      </w:pPr>
      <w:r w:rsidRPr="002E1179">
        <w:rPr>
          <w:rFonts w:asciiTheme="minorHAnsi" w:hAnsiTheme="minorHAnsi" w:cstheme="minorHAnsi"/>
          <w:noProof/>
          <w:sz w:val="24"/>
          <w:szCs w:val="28"/>
        </w:rPr>
        <w:drawing>
          <wp:anchor distT="0" distB="0" distL="114300" distR="114300" simplePos="0" relativeHeight="251664384" behindDoc="1" locked="0" layoutInCell="1" allowOverlap="1" wp14:anchorId="62A741EB" wp14:editId="4598AF09">
            <wp:simplePos x="0" y="0"/>
            <wp:positionH relativeFrom="margin">
              <wp:posOffset>3256915</wp:posOffset>
            </wp:positionH>
            <wp:positionV relativeFrom="paragraph">
              <wp:posOffset>824980</wp:posOffset>
            </wp:positionV>
            <wp:extent cx="3126740" cy="4314190"/>
            <wp:effectExtent l="0" t="0" r="0" b="0"/>
            <wp:wrapThrough wrapText="bothSides">
              <wp:wrapPolygon edited="0">
                <wp:start x="0" y="0"/>
                <wp:lineTo x="0" y="21460"/>
                <wp:lineTo x="21451" y="21460"/>
                <wp:lineTo x="21451" y="0"/>
                <wp:lineTo x="0" y="0"/>
              </wp:wrapPolygon>
            </wp:wrapThrough>
            <wp:docPr id="481462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6249" name=""/>
                    <pic:cNvPicPr/>
                  </pic:nvPicPr>
                  <pic:blipFill>
                    <a:blip r:embed="rId9">
                      <a:extLst>
                        <a:ext uri="{28A0092B-C50C-407E-A947-70E740481C1C}">
                          <a14:useLocalDpi xmlns:a14="http://schemas.microsoft.com/office/drawing/2010/main" val="0"/>
                        </a:ext>
                      </a:extLst>
                    </a:blip>
                    <a:stretch>
                      <a:fillRect/>
                    </a:stretch>
                  </pic:blipFill>
                  <pic:spPr>
                    <a:xfrm>
                      <a:off x="0" y="0"/>
                      <a:ext cx="3126740" cy="43141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4"/>
          <w:szCs w:val="28"/>
        </w:rPr>
        <w:t>Η διαχρονική ύπαρξη περιφερειακών ανισοτήτων μεταξύ των δεκατριών περιφερειών της χώρας αποδεικνύεται από σειρά οικονομικών και κοινωνικών δεικτών. Οι διαπιστώσεις από την ανάλυση αυτών των δεικτών, οδηγούν στην ανάγκη σχεδιασμού και εφαρμογής συγκεκριμένης και στοχευμένης πολιτικής περιφερειακής σύγκλισης για την έμπρακτη και βιώσιμη μείωση των περιφερειακών ανισοτήτων στη χώρα.</w:t>
      </w:r>
      <w:r w:rsidRPr="002E1179">
        <w:rPr>
          <w:noProof/>
        </w:rPr>
        <w:t xml:space="preserve"> </w:t>
      </w:r>
    </w:p>
    <w:p w14:paraId="730D1BE6" w14:textId="77777777" w:rsidR="007C2A67" w:rsidRDefault="007C2A67" w:rsidP="007C2A67">
      <w:pPr>
        <w:spacing w:after="60"/>
        <w:ind w:left="-142"/>
        <w:jc w:val="both"/>
        <w:rPr>
          <w:rFonts w:asciiTheme="minorHAnsi" w:hAnsiTheme="minorHAnsi" w:cstheme="minorHAnsi"/>
          <w:sz w:val="24"/>
          <w:szCs w:val="28"/>
        </w:rPr>
      </w:pPr>
      <w:r>
        <w:rPr>
          <w:rFonts w:asciiTheme="minorHAnsi" w:hAnsiTheme="minorHAnsi" w:cstheme="minorHAnsi"/>
          <w:sz w:val="24"/>
          <w:szCs w:val="28"/>
        </w:rPr>
        <w:t xml:space="preserve">Συγκεκριμένα: </w:t>
      </w:r>
    </w:p>
    <w:p w14:paraId="58F43C7E" w14:textId="77777777" w:rsidR="007C2A67" w:rsidRDefault="007C2A67" w:rsidP="007C2A67">
      <w:pPr>
        <w:pStyle w:val="ListParagraph"/>
        <w:numPr>
          <w:ilvl w:val="0"/>
          <w:numId w:val="32"/>
        </w:numPr>
        <w:spacing w:after="60"/>
        <w:ind w:left="142" w:hanging="284"/>
        <w:contextualSpacing w:val="0"/>
        <w:jc w:val="both"/>
        <w:rPr>
          <w:rFonts w:asciiTheme="minorHAnsi" w:hAnsiTheme="minorHAnsi" w:cstheme="minorHAnsi"/>
          <w:sz w:val="24"/>
          <w:szCs w:val="28"/>
        </w:rPr>
      </w:pPr>
      <w:r w:rsidRPr="008E2284">
        <w:rPr>
          <w:rFonts w:asciiTheme="minorHAnsi" w:hAnsiTheme="minorHAnsi" w:cstheme="minorHAnsi"/>
          <w:sz w:val="24"/>
          <w:szCs w:val="28"/>
        </w:rPr>
        <w:t xml:space="preserve">Το </w:t>
      </w:r>
      <w:r w:rsidRPr="008E2284">
        <w:rPr>
          <w:rFonts w:asciiTheme="minorHAnsi" w:hAnsiTheme="minorHAnsi" w:cstheme="minorHAnsi"/>
          <w:b/>
          <w:bCs/>
          <w:sz w:val="24"/>
          <w:szCs w:val="28"/>
        </w:rPr>
        <w:t>κατά κεφαλήν ΑΕΠ</w:t>
      </w:r>
      <w:r w:rsidRPr="008E2284">
        <w:rPr>
          <w:rFonts w:asciiTheme="minorHAnsi" w:hAnsiTheme="minorHAnsi" w:cstheme="minorHAnsi"/>
          <w:sz w:val="24"/>
          <w:szCs w:val="28"/>
        </w:rPr>
        <w:t xml:space="preserve"> αποδεικνύει</w:t>
      </w:r>
      <w:r>
        <w:rPr>
          <w:rFonts w:asciiTheme="minorHAnsi" w:hAnsiTheme="minorHAnsi" w:cstheme="minorHAnsi"/>
          <w:sz w:val="24"/>
          <w:szCs w:val="28"/>
        </w:rPr>
        <w:t xml:space="preserve"> αύξηση των περιφερειακών ανισοτήτων, αφού τέσσερεις περιφέρειες «διευρύνουν» την απόστασή τους από τη «μόνιμα πρωτοπορούσα» Αττική, με «αρνητική πρωταθλήτρια» τη Δυτική Μακεδονία με -16%. Έξι από αυτές παρουσιάζουν ισχνή αύξηση έως 2%, ενώ μόνον η Στερεά Ελλάδα μειώνει ουσιαστικά την απόστασή της από την Αττική, σε ποσοστό 10,2%.</w:t>
      </w:r>
    </w:p>
    <w:p w14:paraId="2CC18404" w14:textId="77777777" w:rsidR="007C2A67" w:rsidRDefault="007C2A67" w:rsidP="007C2A67">
      <w:pPr>
        <w:pStyle w:val="ListParagraph"/>
        <w:numPr>
          <w:ilvl w:val="0"/>
          <w:numId w:val="32"/>
        </w:numPr>
        <w:spacing w:after="60"/>
        <w:ind w:left="142" w:hanging="284"/>
        <w:contextualSpacing w:val="0"/>
        <w:jc w:val="both"/>
        <w:rPr>
          <w:rFonts w:asciiTheme="minorHAnsi" w:hAnsiTheme="minorHAnsi" w:cstheme="minorHAnsi"/>
          <w:sz w:val="24"/>
          <w:szCs w:val="28"/>
        </w:rPr>
      </w:pPr>
      <w:r w:rsidRPr="009915E8">
        <w:rPr>
          <w:rFonts w:asciiTheme="minorHAnsi" w:hAnsiTheme="minorHAnsi" w:cstheme="minorHAnsi"/>
          <w:sz w:val="24"/>
          <w:szCs w:val="28"/>
        </w:rPr>
        <w:t xml:space="preserve">Το </w:t>
      </w:r>
      <w:r w:rsidRPr="008E2284">
        <w:rPr>
          <w:rFonts w:asciiTheme="minorHAnsi" w:hAnsiTheme="minorHAnsi" w:cstheme="minorHAnsi"/>
          <w:b/>
          <w:bCs/>
          <w:sz w:val="24"/>
          <w:szCs w:val="28"/>
        </w:rPr>
        <w:t>ποσοστό ανεργίας</w:t>
      </w:r>
      <w:r w:rsidRPr="008E2284">
        <w:rPr>
          <w:rFonts w:asciiTheme="minorHAnsi" w:hAnsiTheme="minorHAnsi" w:cstheme="minorHAnsi"/>
          <w:sz w:val="24"/>
          <w:szCs w:val="28"/>
        </w:rPr>
        <w:t xml:space="preserve"> μειώνεται</w:t>
      </w:r>
      <w:r w:rsidRPr="009915E8">
        <w:rPr>
          <w:rFonts w:asciiTheme="minorHAnsi" w:hAnsiTheme="minorHAnsi" w:cstheme="minorHAnsi"/>
          <w:sz w:val="24"/>
          <w:szCs w:val="28"/>
        </w:rPr>
        <w:t xml:space="preserve"> κατά 8% στην Αττική και μόλις κατά 1% στη Δυτική Ελλάδα, την ίδια στιγμή που: α) Κρήτη, Πελοπόννησος, Δυτική Μακεδονία και Ήπειρος έχουν μηδενική μείωση του ποσοστού ανεργίας, β) Ανατολική Μακεδονία – Θράκη, Στερεά Ελλάδα, Νότιο Αιγαίο, Βόρειο Αιγαίο και Ιόνια Νησιά αυξάνουν κατά 1% το ποσοστό ανεργίας την περίοδο 2015 – 2021, ενώ Θεσσαλία και Κεντρική Μακεδονία</w:t>
      </w:r>
      <w:r>
        <w:rPr>
          <w:rFonts w:asciiTheme="minorHAnsi" w:hAnsiTheme="minorHAnsi" w:cstheme="minorHAnsi"/>
          <w:sz w:val="24"/>
          <w:szCs w:val="28"/>
        </w:rPr>
        <w:t>, αυξάνουν το συγκεκριμένο ποσοστό κατά 2%.</w:t>
      </w:r>
    </w:p>
    <w:p w14:paraId="16F269EB" w14:textId="77777777" w:rsidR="007C2A67" w:rsidRDefault="007C2A67" w:rsidP="007C2A67">
      <w:pPr>
        <w:pStyle w:val="ListParagraph"/>
        <w:numPr>
          <w:ilvl w:val="0"/>
          <w:numId w:val="32"/>
        </w:numPr>
        <w:spacing w:after="60"/>
        <w:ind w:left="142" w:hanging="284"/>
        <w:contextualSpacing w:val="0"/>
        <w:jc w:val="both"/>
        <w:rPr>
          <w:rFonts w:asciiTheme="minorHAnsi" w:hAnsiTheme="minorHAnsi" w:cstheme="minorHAnsi"/>
          <w:sz w:val="24"/>
          <w:szCs w:val="28"/>
        </w:rPr>
      </w:pPr>
      <w:r w:rsidRPr="008E2284">
        <w:rPr>
          <w:rFonts w:asciiTheme="minorHAnsi" w:hAnsiTheme="minorHAnsi" w:cstheme="minorHAnsi"/>
          <w:noProof/>
          <w:sz w:val="24"/>
          <w:szCs w:val="28"/>
        </w:rPr>
        <mc:AlternateContent>
          <mc:Choice Requires="wps">
            <w:drawing>
              <wp:anchor distT="0" distB="0" distL="114300" distR="114300" simplePos="0" relativeHeight="251665408" behindDoc="0" locked="0" layoutInCell="1" allowOverlap="1" wp14:anchorId="0D7FBDDF" wp14:editId="78A3C011">
                <wp:simplePos x="0" y="0"/>
                <wp:positionH relativeFrom="column">
                  <wp:posOffset>3294380</wp:posOffset>
                </wp:positionH>
                <wp:positionV relativeFrom="paragraph">
                  <wp:posOffset>329045</wp:posOffset>
                </wp:positionV>
                <wp:extent cx="3038475" cy="360000"/>
                <wp:effectExtent l="0" t="0" r="28575" b="21590"/>
                <wp:wrapSquare wrapText="bothSides"/>
                <wp:docPr id="413434976" name="Πλαίσιο κειμένου 1"/>
                <wp:cNvGraphicFramePr/>
                <a:graphic xmlns:a="http://schemas.openxmlformats.org/drawingml/2006/main">
                  <a:graphicData uri="http://schemas.microsoft.com/office/word/2010/wordprocessingShape">
                    <wps:wsp>
                      <wps:cNvSpPr txBox="1"/>
                      <wps:spPr>
                        <a:xfrm>
                          <a:off x="0" y="0"/>
                          <a:ext cx="3038475" cy="360000"/>
                        </a:xfrm>
                        <a:prstGeom prst="rect">
                          <a:avLst/>
                        </a:prstGeom>
                        <a:solidFill>
                          <a:schemeClr val="lt1"/>
                        </a:solidFill>
                        <a:ln w="6350">
                          <a:solidFill>
                            <a:prstClr val="black"/>
                          </a:solidFill>
                        </a:ln>
                      </wps:spPr>
                      <wps:txbx>
                        <w:txbxContent>
                          <w:p w14:paraId="42010A90" w14:textId="77777777" w:rsidR="007C2A67" w:rsidRPr="006E76FA" w:rsidRDefault="007C2A67" w:rsidP="007C2A67">
                            <w:pPr>
                              <w:jc w:val="center"/>
                              <w:rPr>
                                <w:sz w:val="18"/>
                                <w:szCs w:val="20"/>
                              </w:rPr>
                            </w:pPr>
                            <w:r w:rsidRPr="006E76FA">
                              <w:rPr>
                                <w:sz w:val="18"/>
                                <w:szCs w:val="20"/>
                                <w:u w:val="single"/>
                              </w:rPr>
                              <w:t>Πηγή:</w:t>
                            </w:r>
                            <w:r w:rsidRPr="006E76FA">
                              <w:rPr>
                                <w:sz w:val="18"/>
                                <w:szCs w:val="20"/>
                              </w:rPr>
                              <w:t xml:space="preserve"> Ευρωπαϊκή Επιτροπή: Όγδοη Έκθεση για την οικονομική, κοινωνική και εδαφική συνοχή,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FBDDF" id="_x0000_t202" coordsize="21600,21600" o:spt="202" path="m,l,21600r21600,l21600,xe">
                <v:stroke joinstyle="miter"/>
                <v:path gradientshapeok="t" o:connecttype="rect"/>
              </v:shapetype>
              <v:shape id="Πλαίσιο κειμένου 1" o:spid="_x0000_s1026" type="#_x0000_t202" style="position:absolute;left:0;text-align:left;margin-left:259.4pt;margin-top:25.9pt;width:239.2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" fillcolor="white [3201]" strokeweight=".5pt">
                <v:textbox>
                  <w:txbxContent>
                    <w:p w14:paraId="42010A90" w14:textId="77777777" w:rsidR="007C2A67" w:rsidRPr="006E76FA" w:rsidRDefault="007C2A67" w:rsidP="007C2A67">
                      <w:pPr>
                        <w:jc w:val="center"/>
                        <w:rPr>
                          <w:sz w:val="18"/>
                          <w:szCs w:val="20"/>
                        </w:rPr>
                      </w:pPr>
                      <w:r w:rsidRPr="006E76FA">
                        <w:rPr>
                          <w:sz w:val="18"/>
                          <w:szCs w:val="20"/>
                          <w:u w:val="single"/>
                        </w:rPr>
                        <w:t>Πηγή:</w:t>
                      </w:r>
                      <w:r w:rsidRPr="006E76FA">
                        <w:rPr>
                          <w:sz w:val="18"/>
                          <w:szCs w:val="20"/>
                        </w:rPr>
                        <w:t xml:space="preserve"> Ευρωπαϊκή Επιτροπή: Όγδοη Έκθεση για την οικονομική, κοινωνική και εδαφική συνοχή, 2022</w:t>
                      </w:r>
                    </w:p>
                  </w:txbxContent>
                </v:textbox>
                <w10:wrap type="square"/>
              </v:shape>
            </w:pict>
          </mc:Fallback>
        </mc:AlternateContent>
      </w:r>
      <w:r w:rsidRPr="008E2284">
        <w:rPr>
          <w:rFonts w:asciiTheme="minorHAnsi" w:hAnsiTheme="minorHAnsi" w:cstheme="minorHAnsi"/>
          <w:sz w:val="24"/>
          <w:szCs w:val="28"/>
        </w:rPr>
        <w:t xml:space="preserve">Ο </w:t>
      </w:r>
      <w:r w:rsidRPr="008E2284">
        <w:rPr>
          <w:rFonts w:asciiTheme="minorHAnsi" w:hAnsiTheme="minorHAnsi" w:cstheme="minorHAnsi"/>
          <w:b/>
          <w:bCs/>
          <w:sz w:val="24"/>
          <w:szCs w:val="28"/>
        </w:rPr>
        <w:t>δείκτης μέτρησης της ανταγωνιστικότητας</w:t>
      </w:r>
      <w:r w:rsidRPr="008E2284">
        <w:rPr>
          <w:rFonts w:asciiTheme="minorHAnsi" w:hAnsiTheme="minorHAnsi" w:cstheme="minorHAnsi"/>
          <w:sz w:val="24"/>
          <w:szCs w:val="28"/>
        </w:rPr>
        <w:t xml:space="preserve"> των</w:t>
      </w:r>
      <w:r>
        <w:rPr>
          <w:rFonts w:asciiTheme="minorHAnsi" w:hAnsiTheme="minorHAnsi" w:cstheme="minorHAnsi"/>
          <w:sz w:val="24"/>
          <w:szCs w:val="28"/>
        </w:rPr>
        <w:t xml:space="preserve"> 234 περιφερειών της Ευρώπης αποδεικνύει ότι η Αττική είναι μακράν η ανταγωνιστικότερη περιφέρεια της χώρας (θέση 134 για το 2022) με τις υπόλοιπες να βρίσκονται στις τελευταίες θέσεις της κατάταξης: από 199 – Κεντρική Μακεδονία έως 228 – Στερεά Ελλάδα. </w:t>
      </w:r>
    </w:p>
    <w:p w14:paraId="6CD61564" w14:textId="77777777" w:rsidR="007C2A67" w:rsidRDefault="007C2A67" w:rsidP="007C2A67">
      <w:pPr>
        <w:pStyle w:val="ListParagraph"/>
        <w:numPr>
          <w:ilvl w:val="0"/>
          <w:numId w:val="32"/>
        </w:numPr>
        <w:spacing w:after="60"/>
        <w:ind w:left="142" w:hanging="284"/>
        <w:contextualSpacing w:val="0"/>
        <w:jc w:val="both"/>
        <w:rPr>
          <w:rFonts w:asciiTheme="minorHAnsi" w:hAnsiTheme="minorHAnsi" w:cstheme="minorHAnsi"/>
          <w:sz w:val="24"/>
          <w:szCs w:val="28"/>
        </w:rPr>
      </w:pPr>
      <w:r>
        <w:rPr>
          <w:rFonts w:asciiTheme="minorHAnsi" w:hAnsiTheme="minorHAnsi" w:cstheme="minorHAnsi"/>
          <w:sz w:val="24"/>
          <w:szCs w:val="28"/>
        </w:rPr>
        <w:t xml:space="preserve">Η μελέτη του ίδιου δείκτη για τα έτη από το 2016 έως το 2022, αποδεικνύει ότι όλες οι περιφέρειες της χώρας αυξάνουν την «απόστασή» τους σε όρους περιφερειακής ανταγωνιστικότητας από την Αττική, εκτός από τη Θεσσαλία, η οποία τη μειώνει σε ποσοστό </w:t>
      </w:r>
      <w:r w:rsidRPr="00300A8C">
        <w:rPr>
          <w:rFonts w:asciiTheme="minorHAnsi" w:hAnsiTheme="minorHAnsi" w:cstheme="minorHAnsi"/>
          <w:sz w:val="24"/>
          <w:szCs w:val="28"/>
        </w:rPr>
        <w:t>6,7</w:t>
      </w:r>
      <w:r>
        <w:rPr>
          <w:rFonts w:asciiTheme="minorHAnsi" w:hAnsiTheme="minorHAnsi" w:cstheme="minorHAnsi"/>
          <w:sz w:val="24"/>
          <w:szCs w:val="28"/>
        </w:rPr>
        <w:t>%.</w:t>
      </w:r>
    </w:p>
    <w:p w14:paraId="252971D7" w14:textId="650A5112" w:rsidR="00D172FA" w:rsidRPr="007C2A67" w:rsidRDefault="007C2A67" w:rsidP="007C2A67">
      <w:pPr>
        <w:pStyle w:val="ListParagraph"/>
        <w:numPr>
          <w:ilvl w:val="0"/>
          <w:numId w:val="32"/>
        </w:numPr>
        <w:spacing w:after="60"/>
        <w:ind w:left="142" w:hanging="284"/>
        <w:contextualSpacing w:val="0"/>
        <w:jc w:val="both"/>
        <w:rPr>
          <w:rFonts w:asciiTheme="minorHAnsi" w:hAnsiTheme="minorHAnsi" w:cstheme="minorHAnsi"/>
          <w:sz w:val="24"/>
          <w:szCs w:val="28"/>
        </w:rPr>
      </w:pPr>
      <w:r w:rsidRPr="008E2284">
        <w:rPr>
          <w:rFonts w:asciiTheme="minorHAnsi" w:hAnsiTheme="minorHAnsi" w:cstheme="minorHAnsi"/>
          <w:sz w:val="24"/>
          <w:szCs w:val="28"/>
        </w:rPr>
        <w:t xml:space="preserve">Ο </w:t>
      </w:r>
      <w:r w:rsidRPr="008E2284">
        <w:rPr>
          <w:rFonts w:asciiTheme="minorHAnsi" w:hAnsiTheme="minorHAnsi" w:cstheme="minorHAnsi"/>
          <w:b/>
          <w:bCs/>
          <w:sz w:val="24"/>
          <w:szCs w:val="28"/>
        </w:rPr>
        <w:t xml:space="preserve">δείκτης «καινοτομίας» του </w:t>
      </w:r>
      <w:r w:rsidRPr="008E2284">
        <w:rPr>
          <w:rFonts w:asciiTheme="minorHAnsi" w:hAnsiTheme="minorHAnsi" w:cstheme="minorHAnsi"/>
          <w:b/>
          <w:bCs/>
          <w:sz w:val="24"/>
          <w:szCs w:val="28"/>
          <w:lang w:val="en-US"/>
        </w:rPr>
        <w:t>Regional</w:t>
      </w:r>
      <w:r w:rsidRPr="008E2284">
        <w:rPr>
          <w:rFonts w:asciiTheme="minorHAnsi" w:hAnsiTheme="minorHAnsi" w:cstheme="minorHAnsi"/>
          <w:b/>
          <w:bCs/>
          <w:sz w:val="24"/>
          <w:szCs w:val="28"/>
        </w:rPr>
        <w:t xml:space="preserve"> </w:t>
      </w:r>
      <w:r w:rsidRPr="008E2284">
        <w:rPr>
          <w:rFonts w:asciiTheme="minorHAnsi" w:hAnsiTheme="minorHAnsi" w:cstheme="minorHAnsi"/>
          <w:b/>
          <w:bCs/>
          <w:sz w:val="24"/>
          <w:szCs w:val="28"/>
          <w:lang w:val="en-US"/>
        </w:rPr>
        <w:t>Innovation</w:t>
      </w:r>
      <w:r w:rsidRPr="008E2284">
        <w:rPr>
          <w:rFonts w:asciiTheme="minorHAnsi" w:hAnsiTheme="minorHAnsi" w:cstheme="minorHAnsi"/>
          <w:b/>
          <w:bCs/>
          <w:sz w:val="24"/>
          <w:szCs w:val="28"/>
        </w:rPr>
        <w:t xml:space="preserve"> </w:t>
      </w:r>
      <w:r w:rsidRPr="008E2284">
        <w:rPr>
          <w:rFonts w:asciiTheme="minorHAnsi" w:hAnsiTheme="minorHAnsi" w:cstheme="minorHAnsi"/>
          <w:b/>
          <w:bCs/>
          <w:sz w:val="24"/>
          <w:szCs w:val="28"/>
          <w:lang w:val="en-US"/>
        </w:rPr>
        <w:t>Scoreboard</w:t>
      </w:r>
      <w:r w:rsidRPr="008E2284">
        <w:rPr>
          <w:rFonts w:asciiTheme="minorHAnsi" w:hAnsiTheme="minorHAnsi" w:cstheme="minorHAnsi"/>
          <w:b/>
          <w:bCs/>
          <w:sz w:val="24"/>
          <w:szCs w:val="28"/>
        </w:rPr>
        <w:t xml:space="preserve"> 2023</w:t>
      </w:r>
      <w:r w:rsidRPr="008E2284">
        <w:rPr>
          <w:rFonts w:asciiTheme="minorHAnsi" w:hAnsiTheme="minorHAnsi" w:cstheme="minorHAnsi"/>
          <w:sz w:val="24"/>
          <w:szCs w:val="28"/>
        </w:rPr>
        <w:t xml:space="preserve"> της</w:t>
      </w:r>
      <w:r w:rsidRPr="00290967">
        <w:rPr>
          <w:rFonts w:asciiTheme="minorHAnsi" w:hAnsiTheme="minorHAnsi" w:cstheme="minorHAnsi"/>
          <w:sz w:val="24"/>
          <w:szCs w:val="28"/>
        </w:rPr>
        <w:t xml:space="preserve"> Ευρωπαϊκής Ένωσης δείχνει σταθερά πρώτη την Αττική και σταθερά τελευταίο το Νότιο Αιγαίο, από το 2016 έως το 2023. Η «απόσταση» από τον μέσον όρο της Ευρωπαϊκής Ένωσης για το 2023 είναι για μεν την Αττική 11 μονάδες (97,6/108,5) για την Κεντρική Μακεδονία στο διπλάσιο ακριβώς (22 μονάδες) ενώ το Νότιο Αιγαίο και τα Ιόνια Νησιά υπολείπονται κατά 48 μονάδες και το Βόρειο Αιγαίο κατά 46 μονάδες από τον μέσο όρο της Ευρωπαϊκής Ένωσης. </w:t>
      </w:r>
    </w:p>
    <w:sectPr w:rsidR="00D172FA" w:rsidRPr="007C2A67" w:rsidSect="00121AA7">
      <w:headerReference w:type="default" r:id="rId10"/>
      <w:footerReference w:type="default" r:id="rId11"/>
      <w:headerReference w:type="first" r:id="rId12"/>
      <w:pgSz w:w="11906" w:h="16838" w:code="9"/>
      <w:pgMar w:top="1985" w:right="1134" w:bottom="1418" w:left="1134" w:header="56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8134" w14:textId="77777777" w:rsidR="004764D1" w:rsidRDefault="004764D1">
      <w:r>
        <w:separator/>
      </w:r>
    </w:p>
  </w:endnote>
  <w:endnote w:type="continuationSeparator" w:id="0">
    <w:p w14:paraId="2686CA56" w14:textId="77777777" w:rsidR="004764D1" w:rsidRDefault="0047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8"/>
    </w:tblGrid>
    <w:tr w:rsidR="00E61FE9" w:rsidRPr="00E61FE9" w14:paraId="76AE28DD" w14:textId="77777777" w:rsidTr="00B7224F">
      <w:trPr>
        <w:trHeight w:val="567"/>
      </w:trPr>
      <w:tc>
        <w:tcPr>
          <w:tcW w:w="11058" w:type="dxa"/>
          <w:shd w:val="clear" w:color="auto" w:fill="D9E2F3" w:themeFill="accent1" w:themeFillTint="33"/>
          <w:vAlign w:val="center"/>
        </w:tcPr>
        <w:p w14:paraId="77258D64" w14:textId="2C613405" w:rsidR="00631537" w:rsidRPr="00E61FE9" w:rsidRDefault="00631537" w:rsidP="00E61FE9">
          <w:pPr>
            <w:ind w:left="318" w:right="601"/>
            <w:rPr>
              <w:rFonts w:asciiTheme="minorHAnsi" w:hAnsiTheme="minorHAnsi" w:cstheme="minorHAnsi"/>
              <w:b/>
              <w:bCs/>
              <w:color w:val="2E74B5" w:themeColor="accent5" w:themeShade="BF"/>
              <w:sz w:val="20"/>
              <w:szCs w:val="22"/>
            </w:rPr>
          </w:pPr>
          <w:r w:rsidRPr="00E61FE9">
            <w:rPr>
              <w:rFonts w:asciiTheme="minorHAnsi" w:hAnsiTheme="minorHAnsi" w:cstheme="minorHAnsi"/>
              <w:b/>
              <w:bCs/>
              <w:color w:val="2E74B5" w:themeColor="accent5" w:themeShade="BF"/>
              <w:sz w:val="20"/>
              <w:szCs w:val="22"/>
            </w:rPr>
            <w:t>Σύνταξη: ΣΒΕ</w:t>
          </w:r>
          <w:r w:rsidR="00EB408C">
            <w:rPr>
              <w:rFonts w:asciiTheme="minorHAnsi" w:hAnsiTheme="minorHAnsi" w:cstheme="minorHAnsi"/>
              <w:b/>
              <w:bCs/>
              <w:color w:val="2E74B5" w:themeColor="accent5" w:themeShade="BF"/>
              <w:sz w:val="20"/>
              <w:szCs w:val="22"/>
            </w:rPr>
            <w:t xml:space="preserve"> </w:t>
          </w:r>
          <w:r w:rsidRPr="00E61FE9">
            <w:rPr>
              <w:rFonts w:asciiTheme="minorHAnsi" w:hAnsiTheme="minorHAnsi" w:cstheme="minorHAnsi"/>
              <w:b/>
              <w:bCs/>
              <w:color w:val="2E74B5" w:themeColor="accent5" w:themeShade="BF"/>
              <w:sz w:val="20"/>
              <w:szCs w:val="22"/>
            </w:rPr>
            <w:t xml:space="preserve"> |  </w:t>
          </w:r>
          <w:r w:rsidR="00A813A2">
            <w:rPr>
              <w:rFonts w:asciiTheme="minorHAnsi" w:hAnsiTheme="minorHAnsi" w:cstheme="minorHAnsi"/>
              <w:b/>
              <w:bCs/>
              <w:color w:val="2E74B5" w:themeColor="accent5" w:themeShade="BF"/>
              <w:sz w:val="20"/>
              <w:szCs w:val="22"/>
              <w:lang w:val="en-US"/>
            </w:rPr>
            <w:t>30.08.2023</w:t>
          </w:r>
          <w:r w:rsidR="00EB408C">
            <w:rPr>
              <w:rFonts w:asciiTheme="minorHAnsi" w:hAnsiTheme="minorHAnsi" w:cstheme="minorHAnsi"/>
              <w:b/>
              <w:bCs/>
              <w:color w:val="2E74B5" w:themeColor="accent5" w:themeShade="BF"/>
              <w:sz w:val="20"/>
              <w:szCs w:val="22"/>
            </w:rPr>
            <w:tab/>
          </w:r>
          <w:r w:rsidR="00EB408C">
            <w:rPr>
              <w:rFonts w:asciiTheme="minorHAnsi" w:hAnsiTheme="minorHAnsi" w:cstheme="minorHAnsi"/>
              <w:b/>
              <w:bCs/>
              <w:color w:val="2E74B5" w:themeColor="accent5" w:themeShade="BF"/>
              <w:sz w:val="20"/>
              <w:szCs w:val="22"/>
            </w:rPr>
            <w:tab/>
          </w:r>
          <w:r w:rsidR="00EB408C">
            <w:rPr>
              <w:rFonts w:asciiTheme="minorHAnsi" w:hAnsiTheme="minorHAnsi" w:cstheme="minorHAnsi"/>
              <w:b/>
              <w:bCs/>
              <w:color w:val="2E74B5" w:themeColor="accent5" w:themeShade="BF"/>
              <w:sz w:val="20"/>
              <w:szCs w:val="22"/>
            </w:rPr>
            <w:tab/>
          </w:r>
          <w:r w:rsidR="00EB408C">
            <w:rPr>
              <w:rFonts w:asciiTheme="minorHAnsi" w:hAnsiTheme="minorHAnsi" w:cstheme="minorHAnsi"/>
              <w:b/>
              <w:bCs/>
              <w:color w:val="2E74B5" w:themeColor="accent5" w:themeShade="BF"/>
              <w:sz w:val="20"/>
              <w:szCs w:val="22"/>
            </w:rPr>
            <w:tab/>
          </w:r>
          <w:r w:rsidR="00EB408C">
            <w:rPr>
              <w:rFonts w:asciiTheme="minorHAnsi" w:hAnsiTheme="minorHAnsi" w:cstheme="minorHAnsi"/>
              <w:b/>
              <w:bCs/>
              <w:color w:val="2E74B5" w:themeColor="accent5" w:themeShade="BF"/>
              <w:sz w:val="20"/>
              <w:szCs w:val="22"/>
            </w:rPr>
            <w:tab/>
          </w:r>
          <w:r w:rsidR="00EB408C">
            <w:rPr>
              <w:rFonts w:asciiTheme="minorHAnsi" w:hAnsiTheme="minorHAnsi" w:cstheme="minorHAnsi"/>
              <w:b/>
              <w:bCs/>
              <w:color w:val="2E74B5" w:themeColor="accent5" w:themeShade="BF"/>
              <w:sz w:val="20"/>
              <w:szCs w:val="22"/>
            </w:rPr>
            <w:tab/>
          </w:r>
          <w:r w:rsidRPr="00E61FE9">
            <w:rPr>
              <w:rFonts w:asciiTheme="minorHAnsi" w:hAnsiTheme="minorHAnsi" w:cstheme="minorHAnsi"/>
              <w:b/>
              <w:bCs/>
              <w:color w:val="2E74B5" w:themeColor="accent5" w:themeShade="BF"/>
              <w:sz w:val="20"/>
              <w:szCs w:val="22"/>
            </w:rPr>
            <w:tab/>
          </w:r>
          <w:r w:rsidRPr="00E61FE9">
            <w:rPr>
              <w:rFonts w:asciiTheme="minorHAnsi" w:hAnsiTheme="minorHAnsi" w:cstheme="minorHAnsi"/>
              <w:b/>
              <w:bCs/>
              <w:color w:val="2E74B5" w:themeColor="accent5" w:themeShade="BF"/>
              <w:sz w:val="20"/>
              <w:szCs w:val="22"/>
            </w:rPr>
            <w:tab/>
          </w:r>
          <w:r w:rsidRPr="00E61FE9">
            <w:rPr>
              <w:rFonts w:asciiTheme="minorHAnsi" w:hAnsiTheme="minorHAnsi" w:cstheme="minorHAnsi"/>
              <w:b/>
              <w:bCs/>
              <w:color w:val="2E74B5" w:themeColor="accent5" w:themeShade="BF"/>
              <w:sz w:val="20"/>
              <w:szCs w:val="22"/>
            </w:rPr>
            <w:tab/>
          </w:r>
          <w:r w:rsidR="00E61FE9" w:rsidRPr="00E61FE9">
            <w:rPr>
              <w:rFonts w:asciiTheme="minorHAnsi" w:hAnsiTheme="minorHAnsi" w:cstheme="minorHAnsi"/>
              <w:b/>
              <w:bCs/>
              <w:color w:val="2E74B5" w:themeColor="accent5" w:themeShade="BF"/>
              <w:sz w:val="20"/>
              <w:szCs w:val="22"/>
            </w:rPr>
            <w:tab/>
          </w:r>
          <w:r w:rsidRPr="00E61FE9">
            <w:rPr>
              <w:rFonts w:asciiTheme="minorHAnsi" w:hAnsiTheme="minorHAnsi" w:cstheme="minorHAnsi"/>
              <w:b/>
              <w:bCs/>
              <w:color w:val="2E74B5" w:themeColor="accent5" w:themeShade="BF"/>
              <w:sz w:val="20"/>
              <w:szCs w:val="22"/>
            </w:rPr>
            <w:tab/>
          </w:r>
          <w:r w:rsidRPr="00E61FE9">
            <w:rPr>
              <w:rFonts w:asciiTheme="minorHAnsi" w:hAnsiTheme="minorHAnsi" w:cstheme="minorHAnsi"/>
              <w:b/>
              <w:bCs/>
              <w:color w:val="2E74B5" w:themeColor="accent5" w:themeShade="BF"/>
              <w:sz w:val="20"/>
              <w:szCs w:val="22"/>
            </w:rPr>
            <w:fldChar w:fldCharType="begin"/>
          </w:r>
          <w:r w:rsidRPr="00E61FE9">
            <w:rPr>
              <w:rFonts w:asciiTheme="minorHAnsi" w:hAnsiTheme="minorHAnsi" w:cstheme="minorHAnsi"/>
              <w:b/>
              <w:bCs/>
              <w:color w:val="2E74B5" w:themeColor="accent5" w:themeShade="BF"/>
              <w:sz w:val="20"/>
              <w:szCs w:val="22"/>
            </w:rPr>
            <w:instrText>PAGE   \* MERGEFORMAT</w:instrText>
          </w:r>
          <w:r w:rsidRPr="00E61FE9">
            <w:rPr>
              <w:rFonts w:asciiTheme="minorHAnsi" w:hAnsiTheme="minorHAnsi" w:cstheme="minorHAnsi"/>
              <w:b/>
              <w:bCs/>
              <w:color w:val="2E74B5" w:themeColor="accent5" w:themeShade="BF"/>
              <w:sz w:val="20"/>
              <w:szCs w:val="22"/>
            </w:rPr>
            <w:fldChar w:fldCharType="separate"/>
          </w:r>
          <w:r w:rsidRPr="00E61FE9">
            <w:rPr>
              <w:rFonts w:asciiTheme="minorHAnsi" w:hAnsiTheme="minorHAnsi" w:cstheme="minorHAnsi"/>
              <w:b/>
              <w:bCs/>
              <w:color w:val="2E74B5" w:themeColor="accent5" w:themeShade="BF"/>
              <w:sz w:val="20"/>
              <w:szCs w:val="22"/>
            </w:rPr>
            <w:t>1</w:t>
          </w:r>
          <w:r w:rsidRPr="00E61FE9">
            <w:rPr>
              <w:rFonts w:asciiTheme="minorHAnsi" w:hAnsiTheme="minorHAnsi" w:cstheme="minorHAnsi"/>
              <w:b/>
              <w:bCs/>
              <w:color w:val="2E74B5" w:themeColor="accent5" w:themeShade="BF"/>
              <w:sz w:val="20"/>
              <w:szCs w:val="22"/>
            </w:rPr>
            <w:fldChar w:fldCharType="end"/>
          </w:r>
        </w:p>
      </w:tc>
    </w:tr>
  </w:tbl>
  <w:p w14:paraId="4E124996" w14:textId="45B3ADF0" w:rsidR="00ED4895" w:rsidRPr="00631537" w:rsidRDefault="00ED4895" w:rsidP="0063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997D" w14:textId="77777777" w:rsidR="004764D1" w:rsidRDefault="004764D1">
      <w:r>
        <w:separator/>
      </w:r>
    </w:p>
  </w:footnote>
  <w:footnote w:type="continuationSeparator" w:id="0">
    <w:p w14:paraId="4794BCB3" w14:textId="77777777" w:rsidR="004764D1" w:rsidRDefault="0047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47A6" w14:textId="69D338FA" w:rsidR="002601DE" w:rsidRDefault="00EB408C" w:rsidP="00E61FE9">
    <w:pPr>
      <w:pStyle w:val="Header"/>
      <w:ind w:left="-993"/>
    </w:pPr>
    <w:r w:rsidRPr="00EB408C">
      <w:rPr>
        <w:noProof/>
      </w:rPr>
      <w:drawing>
        <wp:anchor distT="0" distB="0" distL="114300" distR="114300" simplePos="0" relativeHeight="251658240" behindDoc="0" locked="0" layoutInCell="1" allowOverlap="1" wp14:anchorId="06F75F86" wp14:editId="6C26EE56">
          <wp:simplePos x="0" y="0"/>
          <wp:positionH relativeFrom="margin">
            <wp:align>center</wp:align>
          </wp:positionH>
          <wp:positionV relativeFrom="paragraph">
            <wp:posOffset>55418</wp:posOffset>
          </wp:positionV>
          <wp:extent cx="6968414" cy="756000"/>
          <wp:effectExtent l="0" t="0" r="4445" b="6350"/>
          <wp:wrapNone/>
          <wp:docPr id="1457799713" name="Εικόνα 145779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43967" name=""/>
                  <pic:cNvPicPr/>
                </pic:nvPicPr>
                <pic:blipFill>
                  <a:blip r:embed="rId1">
                    <a:extLst>
                      <a:ext uri="{28A0092B-C50C-407E-A947-70E740481C1C}">
                        <a14:useLocalDpi xmlns:a14="http://schemas.microsoft.com/office/drawing/2010/main" val="0"/>
                      </a:ext>
                    </a:extLst>
                  </a:blip>
                  <a:stretch>
                    <a:fillRect/>
                  </a:stretch>
                </pic:blipFill>
                <pic:spPr>
                  <a:xfrm>
                    <a:off x="0" y="0"/>
                    <a:ext cx="6968414" cy="75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B46B" w14:textId="70987B2D" w:rsidR="00D81108" w:rsidRPr="00E810E2" w:rsidRDefault="00D81108" w:rsidP="00E810E2">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D9C"/>
    <w:multiLevelType w:val="hybridMultilevel"/>
    <w:tmpl w:val="37C62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D352EA"/>
    <w:multiLevelType w:val="hybridMultilevel"/>
    <w:tmpl w:val="82FA57A4"/>
    <w:lvl w:ilvl="0" w:tplc="7C6A8AA0">
      <w:numFmt w:val="bullet"/>
      <w:lvlText w:val="-"/>
      <w:lvlJc w:val="left"/>
      <w:pPr>
        <w:ind w:left="780" w:hanging="4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9E3AD6"/>
    <w:multiLevelType w:val="hybridMultilevel"/>
    <w:tmpl w:val="F5B82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0E767A"/>
    <w:multiLevelType w:val="hybridMultilevel"/>
    <w:tmpl w:val="1616B29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15:restartNumberingAfterBreak="0">
    <w:nsid w:val="14757E05"/>
    <w:multiLevelType w:val="hybridMultilevel"/>
    <w:tmpl w:val="66740ACE"/>
    <w:lvl w:ilvl="0" w:tplc="F9F4C2A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137DA7"/>
    <w:multiLevelType w:val="hybridMultilevel"/>
    <w:tmpl w:val="9C7A8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1B437E"/>
    <w:multiLevelType w:val="hybridMultilevel"/>
    <w:tmpl w:val="DF428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1124EA"/>
    <w:multiLevelType w:val="hybridMultilevel"/>
    <w:tmpl w:val="92FA0E6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44480"/>
    <w:multiLevelType w:val="hybridMultilevel"/>
    <w:tmpl w:val="33DE198A"/>
    <w:lvl w:ilvl="0" w:tplc="1B8293D8">
      <w:start w:val="27"/>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684951"/>
    <w:multiLevelType w:val="hybridMultilevel"/>
    <w:tmpl w:val="DF2E9744"/>
    <w:lvl w:ilvl="0" w:tplc="DE669F54">
      <w:numFmt w:val="bullet"/>
      <w:lvlText w:val="-"/>
      <w:lvlJc w:val="left"/>
      <w:pPr>
        <w:ind w:left="780" w:hanging="4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575F57"/>
    <w:multiLevelType w:val="hybridMultilevel"/>
    <w:tmpl w:val="CCF8FB54"/>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1" w15:restartNumberingAfterBreak="0">
    <w:nsid w:val="2EF6529F"/>
    <w:multiLevelType w:val="hybridMultilevel"/>
    <w:tmpl w:val="72FCA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AC2727"/>
    <w:multiLevelType w:val="hybridMultilevel"/>
    <w:tmpl w:val="5C00EA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CB5878"/>
    <w:multiLevelType w:val="hybridMultilevel"/>
    <w:tmpl w:val="61C8BB4C"/>
    <w:lvl w:ilvl="0" w:tplc="04080001">
      <w:start w:val="1"/>
      <w:numFmt w:val="bullet"/>
      <w:lvlText w:val=""/>
      <w:lvlJc w:val="left"/>
      <w:pPr>
        <w:ind w:left="720" w:hanging="360"/>
      </w:pPr>
      <w:rPr>
        <w:rFonts w:ascii="Symbol" w:hAnsi="Symbol" w:hint="default"/>
      </w:rPr>
    </w:lvl>
    <w:lvl w:ilvl="1" w:tplc="A216D7DA">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CD741D"/>
    <w:multiLevelType w:val="hybridMultilevel"/>
    <w:tmpl w:val="E2E4C1DC"/>
    <w:lvl w:ilvl="0" w:tplc="9A3EDBA4">
      <w:numFmt w:val="bullet"/>
      <w:lvlText w:val="-"/>
      <w:lvlJc w:val="left"/>
      <w:pPr>
        <w:ind w:left="780" w:hanging="4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720067"/>
    <w:multiLevelType w:val="hybridMultilevel"/>
    <w:tmpl w:val="953A449A"/>
    <w:lvl w:ilvl="0" w:tplc="82CEC2A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3136AD"/>
    <w:multiLevelType w:val="hybridMultilevel"/>
    <w:tmpl w:val="7A880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4D22B9"/>
    <w:multiLevelType w:val="hybridMultilevel"/>
    <w:tmpl w:val="75D60076"/>
    <w:lvl w:ilvl="0" w:tplc="95820E88">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AB75DA"/>
    <w:multiLevelType w:val="hybridMultilevel"/>
    <w:tmpl w:val="C4F8E5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2D183F"/>
    <w:multiLevelType w:val="hybridMultilevel"/>
    <w:tmpl w:val="C8A60E7C"/>
    <w:lvl w:ilvl="0" w:tplc="0809000F">
      <w:start w:val="1"/>
      <w:numFmt w:val="decimal"/>
      <w:lvlText w:val="%1."/>
      <w:lvlJc w:val="left"/>
      <w:pPr>
        <w:ind w:left="1087" w:hanging="360"/>
      </w:p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20" w15:restartNumberingAfterBreak="0">
    <w:nsid w:val="519D2E8F"/>
    <w:multiLevelType w:val="hybridMultilevel"/>
    <w:tmpl w:val="AEC8C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C77864"/>
    <w:multiLevelType w:val="hybridMultilevel"/>
    <w:tmpl w:val="CA2CAED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510A0D"/>
    <w:multiLevelType w:val="hybridMultilevel"/>
    <w:tmpl w:val="948C6B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76750A9"/>
    <w:multiLevelType w:val="hybridMultilevel"/>
    <w:tmpl w:val="780831E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4" w15:restartNumberingAfterBreak="0">
    <w:nsid w:val="58686302"/>
    <w:multiLevelType w:val="hybridMultilevel"/>
    <w:tmpl w:val="35D235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A7459BA"/>
    <w:multiLevelType w:val="hybridMultilevel"/>
    <w:tmpl w:val="044E889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6" w15:restartNumberingAfterBreak="0">
    <w:nsid w:val="5A983A6D"/>
    <w:multiLevelType w:val="hybridMultilevel"/>
    <w:tmpl w:val="FE301F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E2A43E8"/>
    <w:multiLevelType w:val="hybridMultilevel"/>
    <w:tmpl w:val="BBE24F1A"/>
    <w:lvl w:ilvl="0" w:tplc="AB009168">
      <w:start w:val="1"/>
      <w:numFmt w:val="decimal"/>
      <w:lvlText w:val="%1."/>
      <w:lvlJc w:val="left"/>
      <w:pPr>
        <w:ind w:left="720" w:hanging="360"/>
      </w:pPr>
      <w:rPr>
        <w:rFonts w:ascii="Arial" w:hAnsi="Arial" w:hint="default"/>
        <w:b w:val="0"/>
        <w:i w:val="0"/>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31601F"/>
    <w:multiLevelType w:val="hybridMultilevel"/>
    <w:tmpl w:val="AE14A6E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9" w15:restartNumberingAfterBreak="0">
    <w:nsid w:val="621C252C"/>
    <w:multiLevelType w:val="hybridMultilevel"/>
    <w:tmpl w:val="746E3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0E3692"/>
    <w:multiLevelType w:val="hybridMultilevel"/>
    <w:tmpl w:val="6C30EB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BDE6661"/>
    <w:multiLevelType w:val="hybridMultilevel"/>
    <w:tmpl w:val="A2B2FA8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2" w15:restartNumberingAfterBreak="0">
    <w:nsid w:val="6D744071"/>
    <w:multiLevelType w:val="hybridMultilevel"/>
    <w:tmpl w:val="CAE08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89533B9"/>
    <w:multiLevelType w:val="hybridMultilevel"/>
    <w:tmpl w:val="1B46AE6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4" w15:restartNumberingAfterBreak="0">
    <w:nsid w:val="78E41FB9"/>
    <w:multiLevelType w:val="hybridMultilevel"/>
    <w:tmpl w:val="76841192"/>
    <w:lvl w:ilvl="0" w:tplc="51FEF8B2">
      <w:numFmt w:val="bullet"/>
      <w:lvlText w:val="-"/>
      <w:lvlJc w:val="left"/>
      <w:pPr>
        <w:ind w:left="780" w:hanging="4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F55594"/>
    <w:multiLevelType w:val="hybridMultilevel"/>
    <w:tmpl w:val="D0F8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C3BCE"/>
    <w:multiLevelType w:val="hybridMultilevel"/>
    <w:tmpl w:val="29B45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43241459">
    <w:abstractNumId w:val="24"/>
  </w:num>
  <w:num w:numId="2" w16cid:durableId="1612740562">
    <w:abstractNumId w:val="15"/>
  </w:num>
  <w:num w:numId="3" w16cid:durableId="1305544066">
    <w:abstractNumId w:val="33"/>
  </w:num>
  <w:num w:numId="4" w16cid:durableId="1006593312">
    <w:abstractNumId w:val="30"/>
  </w:num>
  <w:num w:numId="5" w16cid:durableId="1394157502">
    <w:abstractNumId w:val="18"/>
  </w:num>
  <w:num w:numId="6" w16cid:durableId="352808913">
    <w:abstractNumId w:val="12"/>
  </w:num>
  <w:num w:numId="7" w16cid:durableId="355737162">
    <w:abstractNumId w:val="2"/>
  </w:num>
  <w:num w:numId="8" w16cid:durableId="2134056158">
    <w:abstractNumId w:val="28"/>
  </w:num>
  <w:num w:numId="9" w16cid:durableId="28842928">
    <w:abstractNumId w:val="5"/>
  </w:num>
  <w:num w:numId="10" w16cid:durableId="2098167104">
    <w:abstractNumId w:val="29"/>
  </w:num>
  <w:num w:numId="11" w16cid:durableId="206337485">
    <w:abstractNumId w:val="23"/>
  </w:num>
  <w:num w:numId="12" w16cid:durableId="29107997">
    <w:abstractNumId w:val="31"/>
  </w:num>
  <w:num w:numId="13" w16cid:durableId="1607495922">
    <w:abstractNumId w:val="10"/>
  </w:num>
  <w:num w:numId="14" w16cid:durableId="1273900903">
    <w:abstractNumId w:val="22"/>
  </w:num>
  <w:num w:numId="15" w16cid:durableId="590702060">
    <w:abstractNumId w:val="13"/>
  </w:num>
  <w:num w:numId="16" w16cid:durableId="719280163">
    <w:abstractNumId w:val="17"/>
  </w:num>
  <w:num w:numId="17" w16cid:durableId="1251113029">
    <w:abstractNumId w:val="6"/>
  </w:num>
  <w:num w:numId="18" w16cid:durableId="413479081">
    <w:abstractNumId w:val="11"/>
  </w:num>
  <w:num w:numId="19" w16cid:durableId="119149556">
    <w:abstractNumId w:val="0"/>
  </w:num>
  <w:num w:numId="20" w16cid:durableId="441073756">
    <w:abstractNumId w:val="36"/>
  </w:num>
  <w:num w:numId="21" w16cid:durableId="1685135566">
    <w:abstractNumId w:val="26"/>
  </w:num>
  <w:num w:numId="22" w16cid:durableId="1062750495">
    <w:abstractNumId w:val="8"/>
  </w:num>
  <w:num w:numId="23" w16cid:durableId="1076441166">
    <w:abstractNumId w:val="21"/>
  </w:num>
  <w:num w:numId="24" w16cid:durableId="2094937939">
    <w:abstractNumId w:val="34"/>
  </w:num>
  <w:num w:numId="25" w16cid:durableId="1447121372">
    <w:abstractNumId w:val="1"/>
  </w:num>
  <w:num w:numId="26" w16cid:durableId="755591330">
    <w:abstractNumId w:val="14"/>
  </w:num>
  <w:num w:numId="27" w16cid:durableId="54552528">
    <w:abstractNumId w:val="9"/>
  </w:num>
  <w:num w:numId="28" w16cid:durableId="1681353460">
    <w:abstractNumId w:val="16"/>
  </w:num>
  <w:num w:numId="29" w16cid:durableId="1826193181">
    <w:abstractNumId w:val="25"/>
  </w:num>
  <w:num w:numId="30" w16cid:durableId="714281847">
    <w:abstractNumId w:val="27"/>
  </w:num>
  <w:num w:numId="31" w16cid:durableId="718823686">
    <w:abstractNumId w:val="4"/>
  </w:num>
  <w:num w:numId="32" w16cid:durableId="1759327623">
    <w:abstractNumId w:val="20"/>
  </w:num>
  <w:num w:numId="33" w16cid:durableId="13043289">
    <w:abstractNumId w:val="35"/>
  </w:num>
  <w:num w:numId="34" w16cid:durableId="1048996381">
    <w:abstractNumId w:val="7"/>
  </w:num>
  <w:num w:numId="35" w16cid:durableId="817184140">
    <w:abstractNumId w:val="3"/>
  </w:num>
  <w:num w:numId="36" w16cid:durableId="1509442350">
    <w:abstractNumId w:val="19"/>
  </w:num>
  <w:num w:numId="37" w16cid:durableId="13516425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F9"/>
    <w:rsid w:val="00002A97"/>
    <w:rsid w:val="00006A51"/>
    <w:rsid w:val="00006A68"/>
    <w:rsid w:val="00040816"/>
    <w:rsid w:val="00056F40"/>
    <w:rsid w:val="00061E97"/>
    <w:rsid w:val="00077249"/>
    <w:rsid w:val="00085789"/>
    <w:rsid w:val="0009200C"/>
    <w:rsid w:val="00092B78"/>
    <w:rsid w:val="000A0CA5"/>
    <w:rsid w:val="000B058A"/>
    <w:rsid w:val="000B07A4"/>
    <w:rsid w:val="000B1BE1"/>
    <w:rsid w:val="000B4AA1"/>
    <w:rsid w:val="000C6C1C"/>
    <w:rsid w:val="000D0F21"/>
    <w:rsid w:val="000D70D5"/>
    <w:rsid w:val="000D7194"/>
    <w:rsid w:val="000E1BB6"/>
    <w:rsid w:val="000E507B"/>
    <w:rsid w:val="000F5460"/>
    <w:rsid w:val="00102E0C"/>
    <w:rsid w:val="0011548A"/>
    <w:rsid w:val="00121AA7"/>
    <w:rsid w:val="00126815"/>
    <w:rsid w:val="00130756"/>
    <w:rsid w:val="001517BA"/>
    <w:rsid w:val="00160A65"/>
    <w:rsid w:val="001A11A9"/>
    <w:rsid w:val="001A440A"/>
    <w:rsid w:val="001B4CE5"/>
    <w:rsid w:val="001B5A60"/>
    <w:rsid w:val="001B6D85"/>
    <w:rsid w:val="001B7E51"/>
    <w:rsid w:val="001C7184"/>
    <w:rsid w:val="001D4717"/>
    <w:rsid w:val="001F4714"/>
    <w:rsid w:val="001F64C9"/>
    <w:rsid w:val="00250A3C"/>
    <w:rsid w:val="00255C7D"/>
    <w:rsid w:val="002601DE"/>
    <w:rsid w:val="002768DB"/>
    <w:rsid w:val="002837B1"/>
    <w:rsid w:val="00283A1A"/>
    <w:rsid w:val="00283CD2"/>
    <w:rsid w:val="00290967"/>
    <w:rsid w:val="0029181E"/>
    <w:rsid w:val="002924B7"/>
    <w:rsid w:val="002A617D"/>
    <w:rsid w:val="002B1B4F"/>
    <w:rsid w:val="002B5E46"/>
    <w:rsid w:val="002B733A"/>
    <w:rsid w:val="002C7AF3"/>
    <w:rsid w:val="002D467B"/>
    <w:rsid w:val="002E1807"/>
    <w:rsid w:val="002F3818"/>
    <w:rsid w:val="00302F6E"/>
    <w:rsid w:val="00305F58"/>
    <w:rsid w:val="00324C1C"/>
    <w:rsid w:val="0032702D"/>
    <w:rsid w:val="003336EC"/>
    <w:rsid w:val="00333E92"/>
    <w:rsid w:val="003371F0"/>
    <w:rsid w:val="003525E8"/>
    <w:rsid w:val="003637DE"/>
    <w:rsid w:val="00363958"/>
    <w:rsid w:val="00373510"/>
    <w:rsid w:val="00390DC9"/>
    <w:rsid w:val="003942E1"/>
    <w:rsid w:val="003B080E"/>
    <w:rsid w:val="003C554D"/>
    <w:rsid w:val="003F1200"/>
    <w:rsid w:val="003F428B"/>
    <w:rsid w:val="00404E30"/>
    <w:rsid w:val="00423658"/>
    <w:rsid w:val="004246D6"/>
    <w:rsid w:val="0043231B"/>
    <w:rsid w:val="00434F4B"/>
    <w:rsid w:val="00446F30"/>
    <w:rsid w:val="00464B16"/>
    <w:rsid w:val="004764D1"/>
    <w:rsid w:val="00493DE9"/>
    <w:rsid w:val="004A49D0"/>
    <w:rsid w:val="004A5927"/>
    <w:rsid w:val="004B0612"/>
    <w:rsid w:val="004B0C05"/>
    <w:rsid w:val="004B50E7"/>
    <w:rsid w:val="004C2E42"/>
    <w:rsid w:val="004D18B2"/>
    <w:rsid w:val="004D33AD"/>
    <w:rsid w:val="004D36AB"/>
    <w:rsid w:val="004D4528"/>
    <w:rsid w:val="004E14AC"/>
    <w:rsid w:val="004E2585"/>
    <w:rsid w:val="004F5A8D"/>
    <w:rsid w:val="004F793A"/>
    <w:rsid w:val="00506250"/>
    <w:rsid w:val="00511B26"/>
    <w:rsid w:val="00512417"/>
    <w:rsid w:val="005131F2"/>
    <w:rsid w:val="005236C1"/>
    <w:rsid w:val="00524CAA"/>
    <w:rsid w:val="00533DBD"/>
    <w:rsid w:val="00537BBA"/>
    <w:rsid w:val="0055358E"/>
    <w:rsid w:val="005666BB"/>
    <w:rsid w:val="0056763C"/>
    <w:rsid w:val="005736C4"/>
    <w:rsid w:val="00573AED"/>
    <w:rsid w:val="0058524B"/>
    <w:rsid w:val="00594E5C"/>
    <w:rsid w:val="005A0DAC"/>
    <w:rsid w:val="005C227F"/>
    <w:rsid w:val="005F0E7A"/>
    <w:rsid w:val="00613D7F"/>
    <w:rsid w:val="00614F9E"/>
    <w:rsid w:val="00616498"/>
    <w:rsid w:val="0063141F"/>
    <w:rsid w:val="00631537"/>
    <w:rsid w:val="00633DF3"/>
    <w:rsid w:val="00646CB1"/>
    <w:rsid w:val="006566FE"/>
    <w:rsid w:val="0066199F"/>
    <w:rsid w:val="006652F4"/>
    <w:rsid w:val="00676798"/>
    <w:rsid w:val="006806AE"/>
    <w:rsid w:val="00683FD3"/>
    <w:rsid w:val="0069400F"/>
    <w:rsid w:val="006966CD"/>
    <w:rsid w:val="006A28D5"/>
    <w:rsid w:val="006A2B91"/>
    <w:rsid w:val="006A5655"/>
    <w:rsid w:val="006D1B0C"/>
    <w:rsid w:val="006D46F9"/>
    <w:rsid w:val="006E218D"/>
    <w:rsid w:val="006F096F"/>
    <w:rsid w:val="006F0B0E"/>
    <w:rsid w:val="006F3FFD"/>
    <w:rsid w:val="006F67A7"/>
    <w:rsid w:val="00700CC1"/>
    <w:rsid w:val="00706718"/>
    <w:rsid w:val="00720294"/>
    <w:rsid w:val="0072206F"/>
    <w:rsid w:val="00722805"/>
    <w:rsid w:val="0074210E"/>
    <w:rsid w:val="0075364A"/>
    <w:rsid w:val="00766768"/>
    <w:rsid w:val="00767475"/>
    <w:rsid w:val="00776FF9"/>
    <w:rsid w:val="0078614F"/>
    <w:rsid w:val="00790188"/>
    <w:rsid w:val="00793737"/>
    <w:rsid w:val="007A76A4"/>
    <w:rsid w:val="007B4884"/>
    <w:rsid w:val="007B562E"/>
    <w:rsid w:val="007C2A67"/>
    <w:rsid w:val="007D4E0F"/>
    <w:rsid w:val="007E5782"/>
    <w:rsid w:val="00802C99"/>
    <w:rsid w:val="00803A2B"/>
    <w:rsid w:val="00813379"/>
    <w:rsid w:val="00815D0C"/>
    <w:rsid w:val="00815E3E"/>
    <w:rsid w:val="00820242"/>
    <w:rsid w:val="0083495F"/>
    <w:rsid w:val="00852E48"/>
    <w:rsid w:val="00852F7D"/>
    <w:rsid w:val="0085360F"/>
    <w:rsid w:val="00865411"/>
    <w:rsid w:val="00880F58"/>
    <w:rsid w:val="0088122F"/>
    <w:rsid w:val="00881ED8"/>
    <w:rsid w:val="008825CD"/>
    <w:rsid w:val="00887019"/>
    <w:rsid w:val="0089127F"/>
    <w:rsid w:val="008938A7"/>
    <w:rsid w:val="00897533"/>
    <w:rsid w:val="008A067F"/>
    <w:rsid w:val="008C7B62"/>
    <w:rsid w:val="008D3C05"/>
    <w:rsid w:val="008E2284"/>
    <w:rsid w:val="008F761B"/>
    <w:rsid w:val="008F7D6C"/>
    <w:rsid w:val="00934049"/>
    <w:rsid w:val="009432A1"/>
    <w:rsid w:val="00951559"/>
    <w:rsid w:val="00972351"/>
    <w:rsid w:val="00973552"/>
    <w:rsid w:val="009773A6"/>
    <w:rsid w:val="0098365B"/>
    <w:rsid w:val="009854D2"/>
    <w:rsid w:val="009920C1"/>
    <w:rsid w:val="00995781"/>
    <w:rsid w:val="009A6EF0"/>
    <w:rsid w:val="009C010B"/>
    <w:rsid w:val="009D2880"/>
    <w:rsid w:val="009D6DDF"/>
    <w:rsid w:val="009D70F7"/>
    <w:rsid w:val="009D77AF"/>
    <w:rsid w:val="009F0D99"/>
    <w:rsid w:val="00A011F5"/>
    <w:rsid w:val="00A26A1E"/>
    <w:rsid w:val="00A347E9"/>
    <w:rsid w:val="00A35798"/>
    <w:rsid w:val="00A40D15"/>
    <w:rsid w:val="00A4159A"/>
    <w:rsid w:val="00A632FE"/>
    <w:rsid w:val="00A70D0C"/>
    <w:rsid w:val="00A712F2"/>
    <w:rsid w:val="00A71426"/>
    <w:rsid w:val="00A74F45"/>
    <w:rsid w:val="00A77441"/>
    <w:rsid w:val="00A813A2"/>
    <w:rsid w:val="00A852DC"/>
    <w:rsid w:val="00AA0E93"/>
    <w:rsid w:val="00AC7AEE"/>
    <w:rsid w:val="00B16FC7"/>
    <w:rsid w:val="00B2113D"/>
    <w:rsid w:val="00B23A5D"/>
    <w:rsid w:val="00B26068"/>
    <w:rsid w:val="00B31837"/>
    <w:rsid w:val="00B378DD"/>
    <w:rsid w:val="00B442DB"/>
    <w:rsid w:val="00B5476E"/>
    <w:rsid w:val="00B5575B"/>
    <w:rsid w:val="00B5682D"/>
    <w:rsid w:val="00B573CE"/>
    <w:rsid w:val="00B7224F"/>
    <w:rsid w:val="00B7379D"/>
    <w:rsid w:val="00B74B7E"/>
    <w:rsid w:val="00BB7164"/>
    <w:rsid w:val="00BC1D83"/>
    <w:rsid w:val="00BC28EF"/>
    <w:rsid w:val="00BC5EC2"/>
    <w:rsid w:val="00BC7229"/>
    <w:rsid w:val="00BE186E"/>
    <w:rsid w:val="00BE4EDF"/>
    <w:rsid w:val="00BF72A2"/>
    <w:rsid w:val="00C0655A"/>
    <w:rsid w:val="00C06CAD"/>
    <w:rsid w:val="00C47AD2"/>
    <w:rsid w:val="00C70EB5"/>
    <w:rsid w:val="00C71EB4"/>
    <w:rsid w:val="00C811A3"/>
    <w:rsid w:val="00C93A70"/>
    <w:rsid w:val="00CA033F"/>
    <w:rsid w:val="00CD23B0"/>
    <w:rsid w:val="00CE5CD7"/>
    <w:rsid w:val="00CF0790"/>
    <w:rsid w:val="00CF0863"/>
    <w:rsid w:val="00CF2DB0"/>
    <w:rsid w:val="00D02068"/>
    <w:rsid w:val="00D06E0F"/>
    <w:rsid w:val="00D07C62"/>
    <w:rsid w:val="00D15111"/>
    <w:rsid w:val="00D172FA"/>
    <w:rsid w:val="00D26A5D"/>
    <w:rsid w:val="00D3262B"/>
    <w:rsid w:val="00D34E2C"/>
    <w:rsid w:val="00D40B12"/>
    <w:rsid w:val="00D64D96"/>
    <w:rsid w:val="00D735F3"/>
    <w:rsid w:val="00D81108"/>
    <w:rsid w:val="00DA2A6D"/>
    <w:rsid w:val="00DA3658"/>
    <w:rsid w:val="00DA5C65"/>
    <w:rsid w:val="00DA780B"/>
    <w:rsid w:val="00DB6C5D"/>
    <w:rsid w:val="00DB7AB7"/>
    <w:rsid w:val="00DC4947"/>
    <w:rsid w:val="00DC534E"/>
    <w:rsid w:val="00DD6E57"/>
    <w:rsid w:val="00DF3E4A"/>
    <w:rsid w:val="00E011D1"/>
    <w:rsid w:val="00E069D6"/>
    <w:rsid w:val="00E31CF2"/>
    <w:rsid w:val="00E55777"/>
    <w:rsid w:val="00E61FE9"/>
    <w:rsid w:val="00E74AB7"/>
    <w:rsid w:val="00E74B88"/>
    <w:rsid w:val="00E810E2"/>
    <w:rsid w:val="00E90486"/>
    <w:rsid w:val="00E90B5A"/>
    <w:rsid w:val="00E90D5B"/>
    <w:rsid w:val="00E92B6E"/>
    <w:rsid w:val="00E93DE9"/>
    <w:rsid w:val="00EA6BFF"/>
    <w:rsid w:val="00EB408C"/>
    <w:rsid w:val="00ED4895"/>
    <w:rsid w:val="00EE2C76"/>
    <w:rsid w:val="00F06C76"/>
    <w:rsid w:val="00F224E0"/>
    <w:rsid w:val="00F33BF9"/>
    <w:rsid w:val="00F40258"/>
    <w:rsid w:val="00F4130D"/>
    <w:rsid w:val="00F41BC8"/>
    <w:rsid w:val="00F439CC"/>
    <w:rsid w:val="00F43BFC"/>
    <w:rsid w:val="00F445DA"/>
    <w:rsid w:val="00F46F86"/>
    <w:rsid w:val="00F541A4"/>
    <w:rsid w:val="00F62087"/>
    <w:rsid w:val="00F635F4"/>
    <w:rsid w:val="00F64B56"/>
    <w:rsid w:val="00F769EB"/>
    <w:rsid w:val="00F81AAB"/>
    <w:rsid w:val="00F96955"/>
    <w:rsid w:val="00FA2B98"/>
    <w:rsid w:val="00FA3E25"/>
    <w:rsid w:val="00FB4BFA"/>
    <w:rsid w:val="00FC3406"/>
    <w:rsid w:val="00FD6FCB"/>
    <w:rsid w:val="00FD788C"/>
    <w:rsid w:val="00FF3764"/>
    <w:rsid w:val="00FF51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FE017"/>
  <w15:chartTrackingRefBased/>
  <w15:docId w15:val="{44F02B58-5D7C-4DDE-9DF7-249510A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2">
    <w:name w:val="heading 2"/>
    <w:basedOn w:val="Normal"/>
    <w:next w:val="Normal"/>
    <w:qFormat/>
    <w:pPr>
      <w:keepNext/>
      <w:jc w:val="right"/>
      <w:outlineLvl w:val="1"/>
    </w:pPr>
    <w:rPr>
      <w:sz w:val="24"/>
      <w:szCs w:val="20"/>
    </w:rPr>
  </w:style>
  <w:style w:type="paragraph" w:styleId="Heading3">
    <w:name w:val="heading 3"/>
    <w:basedOn w:val="Normal"/>
    <w:next w:val="Normal"/>
    <w:qFormat/>
    <w:pPr>
      <w:keepNext/>
      <w:outlineLvl w:val="2"/>
    </w:pPr>
    <w:rPr>
      <w:b/>
      <w:sz w:val="24"/>
      <w:szCs w:val="20"/>
    </w:rPr>
  </w:style>
  <w:style w:type="paragraph" w:styleId="Heading4">
    <w:name w:val="heading 4"/>
    <w:basedOn w:val="Normal"/>
    <w:next w:val="Normal"/>
    <w:link w:val="Heading4Char"/>
    <w:uiPriority w:val="9"/>
    <w:semiHidden/>
    <w:unhideWhenUsed/>
    <w:qFormat/>
    <w:rsid w:val="007E57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262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4130D"/>
    <w:rPr>
      <w:color w:val="0000FF"/>
      <w:u w:val="single"/>
    </w:rPr>
  </w:style>
  <w:style w:type="paragraph" w:styleId="BalloonText">
    <w:name w:val="Balloon Text"/>
    <w:basedOn w:val="Normal"/>
    <w:semiHidden/>
    <w:rsid w:val="00B7379D"/>
    <w:rPr>
      <w:rFonts w:ascii="Tahoma" w:hAnsi="Tahoma" w:cs="Tahoma"/>
      <w:sz w:val="16"/>
      <w:szCs w:val="16"/>
    </w:rPr>
  </w:style>
  <w:style w:type="character" w:styleId="Strong">
    <w:name w:val="Strong"/>
    <w:qFormat/>
    <w:rsid w:val="00972351"/>
    <w:rPr>
      <w:b/>
      <w:bCs/>
    </w:rPr>
  </w:style>
  <w:style w:type="character" w:customStyle="1" w:styleId="HeaderChar">
    <w:name w:val="Header Char"/>
    <w:link w:val="Header"/>
    <w:rsid w:val="00BC7229"/>
    <w:rPr>
      <w:rFonts w:ascii="Arial" w:hAnsi="Arial"/>
      <w:sz w:val="22"/>
      <w:szCs w:val="24"/>
    </w:rPr>
  </w:style>
  <w:style w:type="character" w:customStyle="1" w:styleId="FooterChar">
    <w:name w:val="Footer Char"/>
    <w:link w:val="Footer"/>
    <w:uiPriority w:val="99"/>
    <w:rsid w:val="00776FF9"/>
    <w:rPr>
      <w:rFonts w:ascii="Arial" w:hAnsi="Arial"/>
      <w:sz w:val="22"/>
      <w:szCs w:val="24"/>
      <w:lang w:val="el-GR" w:eastAsia="el-GR"/>
    </w:rPr>
  </w:style>
  <w:style w:type="character" w:customStyle="1" w:styleId="Heading5Char">
    <w:name w:val="Heading 5 Char"/>
    <w:link w:val="Heading5"/>
    <w:uiPriority w:val="9"/>
    <w:semiHidden/>
    <w:rsid w:val="00D3262B"/>
    <w:rPr>
      <w:rFonts w:ascii="Calibri" w:eastAsia="Times New Roman" w:hAnsi="Calibri" w:cs="Times New Roman"/>
      <w:b/>
      <w:bCs/>
      <w:i/>
      <w:iCs/>
      <w:sz w:val="26"/>
      <w:szCs w:val="26"/>
    </w:rPr>
  </w:style>
  <w:style w:type="table" w:styleId="TableGrid">
    <w:name w:val="Table Grid"/>
    <w:basedOn w:val="TableNormal"/>
    <w:uiPriority w:val="39"/>
    <w:rsid w:val="006F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D6C"/>
    <w:rPr>
      <w:color w:val="605E5C"/>
      <w:shd w:val="clear" w:color="auto" w:fill="E1DFDD"/>
    </w:rPr>
  </w:style>
  <w:style w:type="paragraph" w:styleId="ListParagraph">
    <w:name w:val="List Paragraph"/>
    <w:basedOn w:val="Normal"/>
    <w:uiPriority w:val="34"/>
    <w:qFormat/>
    <w:rsid w:val="00AC7AEE"/>
    <w:pPr>
      <w:ind w:left="720"/>
      <w:contextualSpacing/>
    </w:pPr>
  </w:style>
  <w:style w:type="character" w:customStyle="1" w:styleId="Heading4Char">
    <w:name w:val="Heading 4 Char"/>
    <w:basedOn w:val="DefaultParagraphFont"/>
    <w:link w:val="Heading4"/>
    <w:uiPriority w:val="9"/>
    <w:semiHidden/>
    <w:rsid w:val="007E5782"/>
    <w:rPr>
      <w:rFonts w:asciiTheme="majorHAnsi" w:eastAsiaTheme="majorEastAsia" w:hAnsiTheme="majorHAnsi" w:cstheme="majorBidi"/>
      <w:i/>
      <w:iCs/>
      <w:color w:val="2F5496" w:themeColor="accent1" w:themeShade="BF"/>
      <w:sz w:val="22"/>
      <w:szCs w:val="24"/>
    </w:rPr>
  </w:style>
  <w:style w:type="table" w:customStyle="1" w:styleId="1">
    <w:name w:val="Πλέγμα πίνακα1"/>
    <w:basedOn w:val="TableNormal"/>
    <w:next w:val="TableGrid"/>
    <w:uiPriority w:val="39"/>
    <w:rsid w:val="00683FD3"/>
    <w:pPr>
      <w:jc w:val="both"/>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6315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60209">
      <w:bodyDiv w:val="1"/>
      <w:marLeft w:val="0"/>
      <w:marRight w:val="0"/>
      <w:marTop w:val="0"/>
      <w:marBottom w:val="0"/>
      <w:divBdr>
        <w:top w:val="none" w:sz="0" w:space="0" w:color="auto"/>
        <w:left w:val="none" w:sz="0" w:space="0" w:color="auto"/>
        <w:bottom w:val="none" w:sz="0" w:space="0" w:color="auto"/>
        <w:right w:val="none" w:sz="0" w:space="0" w:color="auto"/>
      </w:divBdr>
    </w:div>
    <w:div w:id="1144349400">
      <w:bodyDiv w:val="1"/>
      <w:marLeft w:val="0"/>
      <w:marRight w:val="0"/>
      <w:marTop w:val="0"/>
      <w:marBottom w:val="0"/>
      <w:divBdr>
        <w:top w:val="none" w:sz="0" w:space="0" w:color="auto"/>
        <w:left w:val="none" w:sz="0" w:space="0" w:color="auto"/>
        <w:bottom w:val="none" w:sz="0" w:space="0" w:color="auto"/>
        <w:right w:val="none" w:sz="0" w:space="0" w:color="auto"/>
      </w:divBdr>
    </w:div>
    <w:div w:id="1204974993">
      <w:bodyDiv w:val="1"/>
      <w:marLeft w:val="0"/>
      <w:marRight w:val="0"/>
      <w:marTop w:val="0"/>
      <w:marBottom w:val="0"/>
      <w:divBdr>
        <w:top w:val="none" w:sz="0" w:space="0" w:color="auto"/>
        <w:left w:val="none" w:sz="0" w:space="0" w:color="auto"/>
        <w:bottom w:val="none" w:sz="0" w:space="0" w:color="auto"/>
        <w:right w:val="none" w:sz="0" w:space="0" w:color="auto"/>
      </w:divBdr>
    </w:div>
    <w:div w:id="20364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619D-ADCA-453A-B13E-7FEC3C7D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2277</Words>
  <Characters>12984</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sbbe</Company>
  <LinksUpToDate>false</LinksUpToDate>
  <CharactersWithSpaces>15231</CharactersWithSpaces>
  <SharedDoc>false</SharedDoc>
  <HLinks>
    <vt:vector size="6" baseType="variant">
      <vt:variant>
        <vt:i4>4325502</vt:i4>
      </vt:variant>
      <vt:variant>
        <vt:i4>0</vt:i4>
      </vt:variant>
      <vt:variant>
        <vt:i4>0</vt:i4>
      </vt:variant>
      <vt:variant>
        <vt:i4>5</vt:i4>
      </vt:variant>
      <vt:variant>
        <vt:lpwstr>mailto:georgiou@sbbe.gr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Sofianou</dc:creator>
  <cp:keywords/>
  <dc:description/>
  <cp:lastModifiedBy>Κων/νος Κουλογιάννης</cp:lastModifiedBy>
  <cp:revision>2</cp:revision>
  <cp:lastPrinted>2023-08-28T12:59:00Z</cp:lastPrinted>
  <dcterms:created xsi:type="dcterms:W3CDTF">2023-08-30T09:41:00Z</dcterms:created>
  <dcterms:modified xsi:type="dcterms:W3CDTF">2023-08-30T09:41:00Z</dcterms:modified>
</cp:coreProperties>
</file>