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B16814" w14:textId="32433CD9" w:rsidR="00085D89" w:rsidRPr="0014057B" w:rsidRDefault="00085D89" w:rsidP="00587D86">
      <w:pPr>
        <w:spacing w:line="276" w:lineRule="auto"/>
        <w:jc w:val="both"/>
        <w:rPr>
          <w:rFonts w:ascii="Arial" w:hAnsi="Arial" w:cs="Arial"/>
          <w:sz w:val="20"/>
          <w:szCs w:val="20"/>
        </w:rPr>
      </w:pPr>
    </w:p>
    <w:p w14:paraId="6F5502A4" w14:textId="1DAB49CE" w:rsidR="003D65CA" w:rsidRPr="00C808DA" w:rsidRDefault="003D65CA" w:rsidP="003D65CA">
      <w:pPr>
        <w:ind w:right="-108"/>
        <w:jc w:val="right"/>
        <w:rPr>
          <w:rFonts w:ascii="Arial" w:hAnsi="Arial" w:cs="Arial"/>
          <w:b/>
        </w:rPr>
      </w:pPr>
      <w:r w:rsidRPr="00BA4C70">
        <w:rPr>
          <w:rFonts w:ascii="Arial" w:hAnsi="Arial" w:cs="Arial"/>
          <w:b/>
          <w:noProof/>
          <w:sz w:val="22"/>
          <w:szCs w:val="22"/>
        </w:rPr>
        <w:drawing>
          <wp:anchor distT="0" distB="0" distL="114300" distR="114300" simplePos="0" relativeHeight="251659264" behindDoc="1" locked="0" layoutInCell="1" allowOverlap="1" wp14:anchorId="555857BA" wp14:editId="392A5443">
            <wp:simplePos x="0" y="0"/>
            <wp:positionH relativeFrom="column">
              <wp:posOffset>971550</wp:posOffset>
            </wp:positionH>
            <wp:positionV relativeFrom="paragraph">
              <wp:posOffset>1905</wp:posOffset>
            </wp:positionV>
            <wp:extent cx="571500" cy="581025"/>
            <wp:effectExtent l="0" t="0" r="0" b="9525"/>
            <wp:wrapTight wrapText="bothSides">
              <wp:wrapPolygon edited="0">
                <wp:start x="0" y="0"/>
                <wp:lineTo x="0" y="21246"/>
                <wp:lineTo x="20880" y="21246"/>
                <wp:lineTo x="20880" y="0"/>
                <wp:lineTo x="0" y="0"/>
              </wp:wrapPolygon>
            </wp:wrapTight>
            <wp:docPr id="2" name="Picture 2"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B53531A" w14:textId="77777777" w:rsidR="003D65CA" w:rsidRPr="00C808DA" w:rsidRDefault="003D65CA" w:rsidP="003D65CA">
      <w:pPr>
        <w:ind w:right="-108"/>
        <w:jc w:val="right"/>
        <w:rPr>
          <w:rFonts w:ascii="Arial" w:hAnsi="Arial" w:cs="Arial"/>
          <w:b/>
        </w:rPr>
      </w:pPr>
    </w:p>
    <w:p w14:paraId="36A7DA4C" w14:textId="77777777" w:rsidR="003D65CA" w:rsidRPr="00C808DA" w:rsidRDefault="003D65CA" w:rsidP="003D65CA">
      <w:pPr>
        <w:tabs>
          <w:tab w:val="center" w:pos="5760"/>
        </w:tabs>
        <w:jc w:val="right"/>
        <w:rPr>
          <w:rFonts w:ascii="Arial" w:hAnsi="Arial" w:cs="Arial"/>
          <w:sz w:val="20"/>
          <w:szCs w:val="20"/>
        </w:rPr>
      </w:pPr>
    </w:p>
    <w:p w14:paraId="606E64E2" w14:textId="77777777" w:rsidR="003D65CA" w:rsidRPr="00C808DA" w:rsidRDefault="003D65CA" w:rsidP="003D65CA">
      <w:pPr>
        <w:tabs>
          <w:tab w:val="center" w:pos="1890"/>
        </w:tabs>
        <w:ind w:left="-18"/>
        <w:rPr>
          <w:rFonts w:ascii="Arial" w:hAnsi="Arial" w:cs="Arial"/>
          <w:b/>
          <w:color w:val="003DCC"/>
          <w:sz w:val="20"/>
          <w:szCs w:val="20"/>
        </w:rPr>
      </w:pPr>
      <w:r w:rsidRPr="00C808DA">
        <w:rPr>
          <w:rFonts w:ascii="Arial" w:hAnsi="Arial" w:cs="Arial"/>
          <w:b/>
          <w:color w:val="003DCC"/>
          <w:sz w:val="20"/>
          <w:szCs w:val="20"/>
        </w:rPr>
        <w:tab/>
      </w:r>
    </w:p>
    <w:p w14:paraId="062112B0" w14:textId="77777777" w:rsidR="003D65CA" w:rsidRPr="00C808DA" w:rsidRDefault="003D65CA" w:rsidP="003D65CA">
      <w:pPr>
        <w:tabs>
          <w:tab w:val="center" w:pos="1890"/>
        </w:tabs>
        <w:ind w:left="-18"/>
        <w:rPr>
          <w:rFonts w:ascii="Arial" w:hAnsi="Arial" w:cs="Arial"/>
          <w:b/>
          <w:color w:val="003DCC"/>
          <w:sz w:val="20"/>
          <w:szCs w:val="20"/>
        </w:rPr>
      </w:pPr>
      <w:r w:rsidRPr="00C808DA">
        <w:rPr>
          <w:rFonts w:ascii="Arial" w:hAnsi="Arial" w:cs="Arial"/>
          <w:b/>
          <w:color w:val="003DCC"/>
          <w:sz w:val="20"/>
          <w:szCs w:val="20"/>
        </w:rPr>
        <w:t xml:space="preserve">            ΕΛΛΗΝΙΚΗ ΔΗΜΟΚΡΑΤΙΑ</w:t>
      </w:r>
    </w:p>
    <w:p w14:paraId="3DD6A295" w14:textId="77777777" w:rsidR="003D65CA" w:rsidRPr="00C808DA" w:rsidRDefault="003D65CA" w:rsidP="003D65CA">
      <w:pPr>
        <w:tabs>
          <w:tab w:val="center" w:pos="1890"/>
        </w:tabs>
        <w:ind w:left="-18"/>
        <w:rPr>
          <w:rFonts w:ascii="Arial" w:hAnsi="Arial" w:cs="Arial"/>
          <w:color w:val="003DCC"/>
          <w:sz w:val="20"/>
          <w:szCs w:val="20"/>
        </w:rPr>
      </w:pPr>
      <w:r w:rsidRPr="00C808DA">
        <w:rPr>
          <w:rFonts w:ascii="Arial" w:hAnsi="Arial" w:cs="Arial"/>
          <w:color w:val="003DCC"/>
          <w:sz w:val="20"/>
          <w:szCs w:val="20"/>
        </w:rPr>
        <w:tab/>
        <w:t>Πρεσβεία της Ελλάδος</w:t>
      </w:r>
    </w:p>
    <w:p w14:paraId="6E281441" w14:textId="77777777" w:rsidR="003D65CA" w:rsidRPr="00C808DA" w:rsidRDefault="003D65CA" w:rsidP="003D65CA">
      <w:pPr>
        <w:tabs>
          <w:tab w:val="center" w:pos="1890"/>
          <w:tab w:val="center" w:pos="5760"/>
        </w:tabs>
        <w:rPr>
          <w:rFonts w:ascii="Arial" w:hAnsi="Arial" w:cs="Arial"/>
          <w:color w:val="003DCC"/>
          <w:sz w:val="20"/>
          <w:szCs w:val="20"/>
        </w:rPr>
      </w:pPr>
      <w:r w:rsidRPr="00C808DA">
        <w:rPr>
          <w:rFonts w:ascii="Arial" w:hAnsi="Arial" w:cs="Arial"/>
          <w:color w:val="003DCC"/>
          <w:sz w:val="20"/>
          <w:szCs w:val="20"/>
        </w:rPr>
        <w:tab/>
        <w:t>Ουάσιγκτων</w:t>
      </w:r>
    </w:p>
    <w:p w14:paraId="129DF18F" w14:textId="77777777" w:rsidR="003D65CA" w:rsidRPr="00C808DA" w:rsidRDefault="003D65CA" w:rsidP="003D65CA">
      <w:pPr>
        <w:tabs>
          <w:tab w:val="center" w:pos="1890"/>
        </w:tabs>
        <w:ind w:left="-18"/>
        <w:rPr>
          <w:rFonts w:ascii="Arial" w:hAnsi="Arial" w:cs="Arial"/>
          <w:color w:val="003DCC"/>
          <w:sz w:val="18"/>
          <w:szCs w:val="18"/>
        </w:rPr>
      </w:pPr>
      <w:r w:rsidRPr="00C808DA">
        <w:rPr>
          <w:rFonts w:ascii="Arial" w:hAnsi="Arial" w:cs="Arial"/>
          <w:color w:val="003DCC"/>
          <w:sz w:val="18"/>
          <w:szCs w:val="18"/>
        </w:rPr>
        <w:tab/>
        <w:t>Γραφείο Οικονομικών &amp; Εμπορικών Υποθέσεων</w:t>
      </w:r>
      <w:r w:rsidRPr="00C808DA">
        <w:rPr>
          <w:rFonts w:ascii="Arial" w:hAnsi="Arial" w:cs="Arial"/>
          <w:sz w:val="16"/>
          <w:szCs w:val="16"/>
        </w:rPr>
        <w:tab/>
      </w:r>
    </w:p>
    <w:p w14:paraId="5048BCCF" w14:textId="77777777" w:rsidR="003D65CA" w:rsidRPr="00C808DA" w:rsidRDefault="003D65CA" w:rsidP="003D65CA">
      <w:pPr>
        <w:tabs>
          <w:tab w:val="center" w:pos="5760"/>
        </w:tabs>
        <w:jc w:val="right"/>
        <w:rPr>
          <w:rFonts w:ascii="Arial" w:hAnsi="Arial" w:cs="Arial"/>
          <w:sz w:val="20"/>
          <w:szCs w:val="20"/>
        </w:rPr>
      </w:pPr>
    </w:p>
    <w:p w14:paraId="11804471" w14:textId="103D0941" w:rsidR="003D65CA" w:rsidRPr="00C808DA" w:rsidRDefault="003D65CA" w:rsidP="003D65CA">
      <w:pPr>
        <w:tabs>
          <w:tab w:val="center" w:pos="5760"/>
        </w:tabs>
        <w:jc w:val="right"/>
        <w:rPr>
          <w:rFonts w:ascii="Arial" w:hAnsi="Arial" w:cs="Arial"/>
          <w:sz w:val="20"/>
          <w:szCs w:val="20"/>
        </w:rPr>
      </w:pPr>
      <w:r w:rsidRPr="00C808DA">
        <w:rPr>
          <w:rFonts w:ascii="Arial" w:hAnsi="Arial" w:cs="Arial"/>
          <w:sz w:val="20"/>
          <w:szCs w:val="20"/>
        </w:rPr>
        <w:t xml:space="preserve">Ουάσιγκτων, </w:t>
      </w:r>
      <w:r w:rsidR="00BA4C70">
        <w:rPr>
          <w:rFonts w:ascii="Arial" w:hAnsi="Arial" w:cs="Arial"/>
          <w:sz w:val="20"/>
          <w:szCs w:val="20"/>
        </w:rPr>
        <w:t>30</w:t>
      </w:r>
      <w:r w:rsidRPr="00D544A8">
        <w:rPr>
          <w:rFonts w:ascii="Arial" w:hAnsi="Arial" w:cs="Arial"/>
          <w:sz w:val="20"/>
          <w:szCs w:val="20"/>
        </w:rPr>
        <w:t xml:space="preserve"> </w:t>
      </w:r>
      <w:r w:rsidR="006025BF">
        <w:rPr>
          <w:rFonts w:ascii="Arial" w:hAnsi="Arial" w:cs="Arial"/>
          <w:sz w:val="20"/>
          <w:szCs w:val="20"/>
        </w:rPr>
        <w:t>Οκτωβρίου</w:t>
      </w:r>
      <w:r w:rsidRPr="0014057B">
        <w:rPr>
          <w:rFonts w:ascii="Arial" w:hAnsi="Arial" w:cs="Arial"/>
          <w:sz w:val="20"/>
          <w:szCs w:val="20"/>
        </w:rPr>
        <w:t xml:space="preserve"> 2026</w:t>
      </w:r>
    </w:p>
    <w:p w14:paraId="7A31EA1D" w14:textId="4F3B1883" w:rsidR="003D65CA" w:rsidRDefault="003D65CA" w:rsidP="003D65CA">
      <w:pPr>
        <w:jc w:val="both"/>
        <w:rPr>
          <w:rFonts w:ascii="Arial" w:hAnsi="Arial" w:cs="Arial"/>
          <w:b/>
          <w:sz w:val="20"/>
          <w:szCs w:val="20"/>
        </w:rPr>
      </w:pPr>
    </w:p>
    <w:p w14:paraId="292827AB" w14:textId="048688F1" w:rsidR="00D42472" w:rsidRDefault="00D42472" w:rsidP="003D65CA">
      <w:pPr>
        <w:jc w:val="both"/>
        <w:rPr>
          <w:rFonts w:ascii="Arial" w:hAnsi="Arial" w:cs="Arial"/>
          <w:b/>
          <w:sz w:val="20"/>
          <w:szCs w:val="20"/>
        </w:rPr>
      </w:pPr>
    </w:p>
    <w:p w14:paraId="38403368" w14:textId="77777777" w:rsidR="00D42472" w:rsidRPr="003D65CA" w:rsidRDefault="00D42472" w:rsidP="003D65CA">
      <w:pPr>
        <w:jc w:val="both"/>
        <w:rPr>
          <w:rFonts w:ascii="Arial" w:hAnsi="Arial" w:cs="Arial"/>
          <w:b/>
          <w:sz w:val="20"/>
          <w:szCs w:val="20"/>
        </w:rPr>
      </w:pPr>
    </w:p>
    <w:p w14:paraId="3C3DD5A8" w14:textId="77777777" w:rsidR="006C1AAD" w:rsidRDefault="006C1AAD" w:rsidP="003D65CA">
      <w:pPr>
        <w:jc w:val="both"/>
        <w:rPr>
          <w:rFonts w:ascii="Arial" w:hAnsi="Arial" w:cs="Arial"/>
          <w:b/>
          <w:sz w:val="20"/>
          <w:szCs w:val="20"/>
        </w:rPr>
      </w:pPr>
    </w:p>
    <w:p w14:paraId="65F72521" w14:textId="1200FCEB" w:rsidR="003D65CA" w:rsidRDefault="003361BD" w:rsidP="009E6FED">
      <w:pPr>
        <w:jc w:val="center"/>
        <w:rPr>
          <w:rFonts w:ascii="Arial" w:hAnsi="Arial" w:cs="Arial"/>
          <w:b/>
          <w:sz w:val="20"/>
          <w:szCs w:val="20"/>
        </w:rPr>
      </w:pPr>
      <w:r>
        <w:rPr>
          <w:rFonts w:ascii="Arial" w:hAnsi="Arial" w:cs="Arial"/>
          <w:b/>
          <w:sz w:val="20"/>
          <w:szCs w:val="20"/>
        </w:rPr>
        <w:t>Προοπτικές</w:t>
      </w:r>
      <w:r w:rsidR="003D65CA" w:rsidRPr="00BA4C70">
        <w:rPr>
          <w:rFonts w:ascii="Arial" w:hAnsi="Arial" w:cs="Arial"/>
          <w:b/>
          <w:sz w:val="20"/>
          <w:szCs w:val="20"/>
        </w:rPr>
        <w:t xml:space="preserve"> ελληνικών </w:t>
      </w:r>
      <w:r>
        <w:rPr>
          <w:rFonts w:ascii="Arial" w:hAnsi="Arial" w:cs="Arial"/>
          <w:b/>
          <w:sz w:val="20"/>
          <w:szCs w:val="20"/>
        </w:rPr>
        <w:t xml:space="preserve">εξαγωγών αλουμινίου στις </w:t>
      </w:r>
      <w:r w:rsidR="003D65CA" w:rsidRPr="00BA4C70">
        <w:rPr>
          <w:rFonts w:ascii="Arial" w:hAnsi="Arial" w:cs="Arial"/>
          <w:b/>
          <w:sz w:val="20"/>
          <w:szCs w:val="20"/>
        </w:rPr>
        <w:t>ΗΠΑ</w:t>
      </w:r>
    </w:p>
    <w:p w14:paraId="4AF37892" w14:textId="77777777" w:rsidR="00D42472" w:rsidRPr="00BA4C70" w:rsidRDefault="00D42472" w:rsidP="009E6FED">
      <w:pPr>
        <w:jc w:val="center"/>
        <w:rPr>
          <w:rFonts w:ascii="Arial" w:hAnsi="Arial" w:cs="Arial"/>
          <w:sz w:val="20"/>
          <w:szCs w:val="20"/>
        </w:rPr>
      </w:pPr>
      <w:bookmarkStart w:id="0" w:name="_GoBack"/>
      <w:bookmarkEnd w:id="0"/>
    </w:p>
    <w:p w14:paraId="6698FD95" w14:textId="218ABC6B" w:rsidR="003D65CA" w:rsidRDefault="003D65CA" w:rsidP="003D65CA">
      <w:pPr>
        <w:jc w:val="both"/>
        <w:rPr>
          <w:rFonts w:ascii="Arial" w:hAnsi="Arial" w:cs="Arial"/>
          <w:sz w:val="20"/>
          <w:szCs w:val="20"/>
        </w:rPr>
      </w:pPr>
    </w:p>
    <w:p w14:paraId="626B0E6A" w14:textId="31EF18BA" w:rsidR="00BA4C70" w:rsidRPr="00631981" w:rsidRDefault="00BA4C70" w:rsidP="00631981">
      <w:pPr>
        <w:spacing w:after="240" w:line="276" w:lineRule="auto"/>
        <w:jc w:val="both"/>
        <w:rPr>
          <w:rFonts w:asciiTheme="minorHAnsi" w:hAnsiTheme="minorHAnsi" w:cstheme="minorHAnsi"/>
          <w:b/>
          <w:color w:val="1F497D" w:themeColor="text2"/>
        </w:rPr>
      </w:pPr>
      <w:r w:rsidRPr="00631981">
        <w:rPr>
          <w:rFonts w:asciiTheme="minorHAnsi" w:hAnsiTheme="minorHAnsi" w:cstheme="minorHAnsi"/>
          <w:b/>
          <w:color w:val="1F497D" w:themeColor="text2"/>
        </w:rPr>
        <w:t>Σύνοψη</w:t>
      </w:r>
    </w:p>
    <w:p w14:paraId="23D33BAA" w14:textId="7CC3ED1C" w:rsidR="009C12B3" w:rsidRDefault="00B0296A"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Οι ελληνικές εξαγωγές αλουμινίου στις ΗΠΑ σημειώνουν μία φαινομενικά παράδοξη εικόνα</w:t>
      </w:r>
      <w:r w:rsidRPr="00B0296A">
        <w:rPr>
          <w:rFonts w:asciiTheme="minorHAnsi" w:hAnsiTheme="minorHAnsi" w:cstheme="minorHAnsi"/>
          <w:sz w:val="22"/>
          <w:szCs w:val="22"/>
        </w:rPr>
        <w:t xml:space="preserve">: </w:t>
      </w:r>
      <w:r>
        <w:rPr>
          <w:rFonts w:asciiTheme="minorHAnsi" w:hAnsiTheme="minorHAnsi" w:cstheme="minorHAnsi"/>
          <w:sz w:val="22"/>
          <w:szCs w:val="22"/>
        </w:rPr>
        <w:t xml:space="preserve">ενώ ο εισαγωγικός δασμός αλουμινίου έχει αυξηθεί σε 50% και των παραγώγων αλουμινίου σε 25%, </w:t>
      </w:r>
      <w:r w:rsidRPr="009C12B3">
        <w:rPr>
          <w:rFonts w:asciiTheme="minorHAnsi" w:hAnsiTheme="minorHAnsi" w:cstheme="minorHAnsi"/>
          <w:sz w:val="22"/>
          <w:szCs w:val="22"/>
          <w:u w:val="single"/>
        </w:rPr>
        <w:t>οι ελληνικές εξαγωγές συνεχίζουν να αυξάνονται</w:t>
      </w:r>
      <w:r w:rsidR="00631981">
        <w:rPr>
          <w:rFonts w:asciiTheme="minorHAnsi" w:hAnsiTheme="minorHAnsi" w:cstheme="minorHAnsi"/>
          <w:sz w:val="22"/>
          <w:szCs w:val="22"/>
          <w:u w:val="single"/>
        </w:rPr>
        <w:t>,</w:t>
      </w:r>
      <w:r w:rsidR="00631981">
        <w:rPr>
          <w:rFonts w:asciiTheme="minorHAnsi" w:hAnsiTheme="minorHAnsi" w:cstheme="minorHAnsi"/>
          <w:sz w:val="22"/>
          <w:szCs w:val="22"/>
        </w:rPr>
        <w:t xml:space="preserve"> αλλά μόνο για είδη που τροφοδοτούν την μεταποιητική βιομηχανία αλουμινίου των ΗΠΑ</w:t>
      </w:r>
      <w:r>
        <w:rPr>
          <w:rFonts w:asciiTheme="minorHAnsi" w:hAnsiTheme="minorHAnsi" w:cstheme="minorHAnsi"/>
          <w:sz w:val="22"/>
          <w:szCs w:val="22"/>
        </w:rPr>
        <w:t xml:space="preserve">. Αυτό εξηγείται από την αδυναμία της </w:t>
      </w:r>
      <w:r w:rsidR="00631981">
        <w:rPr>
          <w:rFonts w:asciiTheme="minorHAnsi" w:hAnsiTheme="minorHAnsi" w:cstheme="minorHAnsi"/>
          <w:sz w:val="22"/>
          <w:szCs w:val="22"/>
        </w:rPr>
        <w:t xml:space="preserve">εγχώριας </w:t>
      </w:r>
      <w:r>
        <w:rPr>
          <w:rFonts w:asciiTheme="minorHAnsi" w:hAnsiTheme="minorHAnsi" w:cstheme="minorHAnsi"/>
          <w:sz w:val="22"/>
          <w:szCs w:val="22"/>
        </w:rPr>
        <w:t xml:space="preserve">βιομηχανικής παραγωγής </w:t>
      </w:r>
      <w:r w:rsidR="00631981">
        <w:rPr>
          <w:rFonts w:asciiTheme="minorHAnsi" w:hAnsiTheme="minorHAnsi" w:cstheme="minorHAnsi"/>
          <w:sz w:val="22"/>
          <w:szCs w:val="22"/>
        </w:rPr>
        <w:t>ν</w:t>
      </w:r>
      <w:r>
        <w:rPr>
          <w:rFonts w:asciiTheme="minorHAnsi" w:hAnsiTheme="minorHAnsi" w:cstheme="minorHAnsi"/>
          <w:sz w:val="22"/>
          <w:szCs w:val="22"/>
        </w:rPr>
        <w:t xml:space="preserve">α καλύψει την εγχώρια ζήτηση, συνεπώς εξακολουθεί να στηρίζεται σε εισαγωγές. Το γεγονός αυτό σημαίνει ότι το κύριο αποτέλεσμα της επιβολής εισαγωγικού δασμού είναι η αύξηση κόστους τόσο για τις βιομηχανίες των ΗΠΑ που χρησιμοποιούν αλουμίνιο ή </w:t>
      </w:r>
      <w:proofErr w:type="spellStart"/>
      <w:r>
        <w:rPr>
          <w:rFonts w:asciiTheme="minorHAnsi" w:hAnsiTheme="minorHAnsi" w:cstheme="minorHAnsi"/>
          <w:sz w:val="22"/>
          <w:szCs w:val="22"/>
        </w:rPr>
        <w:t>ημιέτοιμα</w:t>
      </w:r>
      <w:proofErr w:type="spellEnd"/>
      <w:r>
        <w:rPr>
          <w:rFonts w:asciiTheme="minorHAnsi" w:hAnsiTheme="minorHAnsi" w:cstheme="minorHAnsi"/>
          <w:sz w:val="22"/>
          <w:szCs w:val="22"/>
        </w:rPr>
        <w:t xml:space="preserve"> προϊόντα αλουμινίου για την παραγωγή των δικών τους προϊόντων, όσο και για τους τελικούς καταναλωτές, όπως </w:t>
      </w:r>
      <w:proofErr w:type="spellStart"/>
      <w:r>
        <w:rPr>
          <w:rFonts w:asciiTheme="minorHAnsi" w:hAnsiTheme="minorHAnsi" w:cstheme="minorHAnsi"/>
          <w:sz w:val="22"/>
          <w:szCs w:val="22"/>
        </w:rPr>
        <w:t>φερ</w:t>
      </w:r>
      <w:proofErr w:type="spellEnd"/>
      <w:r>
        <w:rPr>
          <w:rFonts w:asciiTheme="minorHAnsi" w:hAnsiTheme="minorHAnsi" w:cstheme="minorHAnsi"/>
          <w:sz w:val="22"/>
          <w:szCs w:val="22"/>
        </w:rPr>
        <w:t>’ ειπείν για τους κατασκευαστές κτηρίων ή τους ιδιοκτήτες ακινήτων που αγοράζουν πόρτες και παράθυρα αλουμινίου.</w:t>
      </w:r>
      <w:r w:rsidR="00631981">
        <w:rPr>
          <w:rFonts w:asciiTheme="minorHAnsi" w:hAnsiTheme="minorHAnsi" w:cstheme="minorHAnsi"/>
          <w:sz w:val="22"/>
          <w:szCs w:val="22"/>
        </w:rPr>
        <w:t xml:space="preserve"> </w:t>
      </w:r>
    </w:p>
    <w:p w14:paraId="230D5EAD" w14:textId="0DE26F33" w:rsidR="00C64449" w:rsidRPr="00631981" w:rsidRDefault="00631981" w:rsidP="00631981">
      <w:pPr>
        <w:spacing w:after="240" w:line="276" w:lineRule="auto"/>
        <w:jc w:val="both"/>
        <w:rPr>
          <w:rFonts w:asciiTheme="minorHAnsi" w:hAnsiTheme="minorHAnsi" w:cstheme="minorHAnsi"/>
          <w:b/>
          <w:color w:val="1F497D" w:themeColor="text2"/>
        </w:rPr>
      </w:pPr>
      <w:r>
        <w:rPr>
          <w:rFonts w:asciiTheme="minorHAnsi" w:hAnsiTheme="minorHAnsi" w:cstheme="minorHAnsi"/>
          <w:b/>
          <w:color w:val="1F497D" w:themeColor="text2"/>
        </w:rPr>
        <w:t xml:space="preserve">Α. </w:t>
      </w:r>
      <w:r>
        <w:rPr>
          <w:rFonts w:asciiTheme="minorHAnsi" w:hAnsiTheme="minorHAnsi" w:cstheme="minorHAnsi"/>
          <w:b/>
          <w:color w:val="1F497D" w:themeColor="text2"/>
        </w:rPr>
        <w:tab/>
      </w:r>
      <w:proofErr w:type="spellStart"/>
      <w:r w:rsidR="00C64449" w:rsidRPr="00631981">
        <w:rPr>
          <w:rFonts w:asciiTheme="minorHAnsi" w:hAnsiTheme="minorHAnsi" w:cstheme="minorHAnsi"/>
          <w:b/>
          <w:color w:val="1F497D" w:themeColor="text2"/>
        </w:rPr>
        <w:t>To</w:t>
      </w:r>
      <w:proofErr w:type="spellEnd"/>
      <w:r w:rsidR="00C64449" w:rsidRPr="00631981">
        <w:rPr>
          <w:rFonts w:asciiTheme="minorHAnsi" w:hAnsiTheme="minorHAnsi" w:cstheme="minorHAnsi"/>
          <w:b/>
          <w:color w:val="1F497D" w:themeColor="text2"/>
        </w:rPr>
        <w:t xml:space="preserve"> ισοζύγιο προϊόντων αλουμινίου μεταξύ Ελλάδας και ΗΠΑ</w:t>
      </w:r>
    </w:p>
    <w:tbl>
      <w:tblPr>
        <w:tblW w:w="8660" w:type="dxa"/>
        <w:jc w:val="center"/>
        <w:tblLook w:val="04A0" w:firstRow="1" w:lastRow="0" w:firstColumn="1" w:lastColumn="0" w:noHBand="0" w:noVBand="1"/>
      </w:tblPr>
      <w:tblGrid>
        <w:gridCol w:w="1260"/>
        <w:gridCol w:w="2080"/>
        <w:gridCol w:w="1580"/>
        <w:gridCol w:w="2160"/>
        <w:gridCol w:w="1580"/>
      </w:tblGrid>
      <w:tr w:rsidR="009C12B3" w:rsidRPr="009C12B3" w14:paraId="23DBAFAA" w14:textId="77777777" w:rsidTr="00A22FA3">
        <w:trPr>
          <w:trHeight w:val="480"/>
          <w:jc w:val="center"/>
        </w:trPr>
        <w:tc>
          <w:tcPr>
            <w:tcW w:w="8660" w:type="dxa"/>
            <w:gridSpan w:val="5"/>
            <w:tcBorders>
              <w:top w:val="nil"/>
              <w:left w:val="nil"/>
              <w:bottom w:val="nil"/>
              <w:right w:val="nil"/>
            </w:tcBorders>
            <w:shd w:val="clear" w:color="auto" w:fill="auto"/>
            <w:noWrap/>
            <w:vAlign w:val="bottom"/>
            <w:hideMark/>
          </w:tcPr>
          <w:p w14:paraId="028ADA0C" w14:textId="77777777" w:rsidR="009C12B3" w:rsidRPr="009C12B3" w:rsidRDefault="009C12B3" w:rsidP="009C12B3">
            <w:pPr>
              <w:rPr>
                <w:rFonts w:ascii="Calibri" w:hAnsi="Calibri" w:cs="Calibri"/>
                <w:b/>
                <w:bCs/>
                <w:color w:val="1E3A8A"/>
                <w:sz w:val="30"/>
                <w:szCs w:val="30"/>
                <w:lang w:eastAsia="en-US"/>
              </w:rPr>
            </w:pPr>
            <w:r w:rsidRPr="009C12B3">
              <w:rPr>
                <w:rFonts w:ascii="Calibri" w:hAnsi="Calibri" w:cs="Calibri"/>
                <w:b/>
                <w:bCs/>
                <w:color w:val="1E3A8A"/>
                <w:sz w:val="30"/>
                <w:szCs w:val="30"/>
                <w:lang w:eastAsia="en-US"/>
              </w:rPr>
              <w:t>ΕΜΠΟΡΙΚΕΣ ΡΟΕΣ ΕΛΛΑΔΑΣ – ΗΠΑ: ΠΡΟΪΟΝΤΑ ΑΛΟΥΜΙΝΙΟΥ</w:t>
            </w:r>
          </w:p>
        </w:tc>
      </w:tr>
      <w:tr w:rsidR="009C12B3" w:rsidRPr="009C12B3" w14:paraId="0E4E4413" w14:textId="77777777" w:rsidTr="00A22FA3">
        <w:trPr>
          <w:trHeight w:val="360"/>
          <w:jc w:val="center"/>
        </w:trPr>
        <w:tc>
          <w:tcPr>
            <w:tcW w:w="8660" w:type="dxa"/>
            <w:gridSpan w:val="5"/>
            <w:tcBorders>
              <w:top w:val="nil"/>
              <w:left w:val="nil"/>
              <w:bottom w:val="nil"/>
              <w:right w:val="nil"/>
            </w:tcBorders>
            <w:shd w:val="clear" w:color="auto" w:fill="auto"/>
            <w:noWrap/>
            <w:vAlign w:val="bottom"/>
            <w:hideMark/>
          </w:tcPr>
          <w:p w14:paraId="029B3320" w14:textId="55F281C0" w:rsidR="009C12B3" w:rsidRDefault="009C12B3" w:rsidP="009C12B3">
            <w:pPr>
              <w:rPr>
                <w:rFonts w:ascii="Calibri" w:hAnsi="Calibri" w:cs="Calibri"/>
                <w:i/>
                <w:iCs/>
                <w:color w:val="475569"/>
                <w:sz w:val="20"/>
                <w:szCs w:val="20"/>
                <w:lang w:eastAsia="en-US"/>
              </w:rPr>
            </w:pPr>
            <w:r w:rsidRPr="009C12B3">
              <w:rPr>
                <w:rFonts w:ascii="Calibri" w:hAnsi="Calibri" w:cs="Calibri"/>
                <w:i/>
                <w:iCs/>
                <w:color w:val="475569"/>
                <w:sz w:val="20"/>
                <w:szCs w:val="20"/>
                <w:lang w:eastAsia="en-US"/>
              </w:rPr>
              <w:t>Συγκεντρωτικά Στοιχεία (Κεφάλαιο 76) | Περίοδος: Ιανουάριος – Αύγουστος (2024 – 2026)</w:t>
            </w:r>
          </w:p>
          <w:p w14:paraId="536892FE" w14:textId="6302DBB2" w:rsidR="0033495E" w:rsidRPr="00D42472" w:rsidRDefault="0033495E" w:rsidP="009C12B3">
            <w:pPr>
              <w:rPr>
                <w:rFonts w:ascii="Calibri" w:hAnsi="Calibri" w:cs="Calibri"/>
                <w:i/>
                <w:iCs/>
                <w:color w:val="475569"/>
                <w:sz w:val="20"/>
                <w:szCs w:val="20"/>
                <w:lang w:eastAsia="en-US"/>
              </w:rPr>
            </w:pPr>
            <w:r>
              <w:rPr>
                <w:rFonts w:ascii="Calibri" w:hAnsi="Calibri" w:cs="Calibri"/>
                <w:i/>
                <w:iCs/>
                <w:color w:val="475569"/>
                <w:sz w:val="20"/>
                <w:szCs w:val="20"/>
                <w:lang w:eastAsia="en-US"/>
              </w:rPr>
              <w:t>Πηγή</w:t>
            </w:r>
            <w:r w:rsidRPr="00D42472">
              <w:rPr>
                <w:rFonts w:ascii="Calibri" w:hAnsi="Calibri" w:cs="Calibri"/>
                <w:i/>
                <w:iCs/>
                <w:color w:val="475569"/>
                <w:sz w:val="20"/>
                <w:szCs w:val="20"/>
                <w:lang w:eastAsia="en-US"/>
              </w:rPr>
              <w:t xml:space="preserve">: </w:t>
            </w:r>
            <w:r>
              <w:rPr>
                <w:rFonts w:ascii="Calibri" w:hAnsi="Calibri" w:cs="Calibri"/>
                <w:i/>
                <w:iCs/>
                <w:color w:val="475569"/>
                <w:sz w:val="20"/>
                <w:szCs w:val="20"/>
                <w:lang w:val="en-US" w:eastAsia="en-US"/>
              </w:rPr>
              <w:t>Eurostat</w:t>
            </w:r>
          </w:p>
          <w:p w14:paraId="7FB335DE" w14:textId="79C798E9" w:rsidR="00263026" w:rsidRPr="00263026" w:rsidRDefault="00263026" w:rsidP="009C12B3">
            <w:pPr>
              <w:rPr>
                <w:rFonts w:ascii="Calibri" w:hAnsi="Calibri" w:cs="Calibri"/>
                <w:i/>
                <w:iCs/>
                <w:color w:val="475569"/>
                <w:sz w:val="20"/>
                <w:szCs w:val="20"/>
                <w:lang w:eastAsia="en-US"/>
              </w:rPr>
            </w:pPr>
            <w:r>
              <w:rPr>
                <w:rFonts w:ascii="Calibri" w:hAnsi="Calibri" w:cs="Calibri"/>
                <w:i/>
                <w:iCs/>
                <w:color w:val="475569"/>
                <w:sz w:val="20"/>
                <w:szCs w:val="20"/>
                <w:lang w:eastAsia="en-US"/>
              </w:rPr>
              <w:t>Επεξεργασία</w:t>
            </w:r>
            <w:r w:rsidRPr="00263026">
              <w:rPr>
                <w:rFonts w:ascii="Calibri" w:hAnsi="Calibri" w:cs="Calibri"/>
                <w:i/>
                <w:iCs/>
                <w:color w:val="475569"/>
                <w:sz w:val="20"/>
                <w:szCs w:val="20"/>
                <w:lang w:eastAsia="en-US"/>
              </w:rPr>
              <w:t xml:space="preserve">: </w:t>
            </w:r>
            <w:r>
              <w:rPr>
                <w:rFonts w:ascii="Calibri" w:hAnsi="Calibri" w:cs="Calibri"/>
                <w:i/>
                <w:iCs/>
                <w:color w:val="475569"/>
                <w:sz w:val="20"/>
                <w:szCs w:val="20"/>
                <w:lang w:eastAsia="en-US"/>
              </w:rPr>
              <w:t>Γραφείο ΟΕΥ Ουάσιγκτων</w:t>
            </w:r>
          </w:p>
          <w:p w14:paraId="45605336" w14:textId="18FF0144" w:rsidR="00FD3F7C" w:rsidRDefault="00FD3F7C" w:rsidP="009C12B3">
            <w:pPr>
              <w:rPr>
                <w:rFonts w:ascii="Calibri" w:hAnsi="Calibri" w:cs="Calibri"/>
                <w:i/>
                <w:iCs/>
                <w:color w:val="475569"/>
                <w:sz w:val="20"/>
                <w:szCs w:val="20"/>
                <w:lang w:eastAsia="en-US"/>
              </w:rPr>
            </w:pPr>
          </w:p>
          <w:p w14:paraId="09E05317" w14:textId="77777777" w:rsidR="00FD3F7C" w:rsidRDefault="00FD3F7C" w:rsidP="009C12B3">
            <w:pPr>
              <w:rPr>
                <w:rFonts w:ascii="Calibri" w:hAnsi="Calibri" w:cs="Calibri"/>
                <w:i/>
                <w:iCs/>
                <w:color w:val="475569"/>
                <w:sz w:val="20"/>
                <w:szCs w:val="20"/>
                <w:lang w:eastAsia="en-US"/>
              </w:rPr>
            </w:pPr>
          </w:p>
          <w:p w14:paraId="3DEED42B" w14:textId="7CDE98DC" w:rsidR="00A22FA3" w:rsidRPr="009C12B3" w:rsidRDefault="00A22FA3" w:rsidP="009C12B3">
            <w:pPr>
              <w:rPr>
                <w:rFonts w:ascii="Calibri" w:hAnsi="Calibri" w:cs="Calibri"/>
                <w:i/>
                <w:iCs/>
                <w:color w:val="475569"/>
                <w:sz w:val="20"/>
                <w:szCs w:val="20"/>
                <w:lang w:eastAsia="en-US"/>
              </w:rPr>
            </w:pPr>
          </w:p>
        </w:tc>
      </w:tr>
      <w:tr w:rsidR="00A22FA3" w:rsidRPr="00A22FA3" w14:paraId="664FC12F" w14:textId="77777777" w:rsidTr="00A22FA3">
        <w:tblPrEx>
          <w:jc w:val="left"/>
        </w:tblPrEx>
        <w:trPr>
          <w:trHeight w:val="402"/>
        </w:trPr>
        <w:tc>
          <w:tcPr>
            <w:tcW w:w="3340" w:type="dxa"/>
            <w:gridSpan w:val="2"/>
            <w:tcBorders>
              <w:top w:val="nil"/>
              <w:left w:val="nil"/>
              <w:bottom w:val="nil"/>
              <w:right w:val="nil"/>
            </w:tcBorders>
            <w:shd w:val="clear" w:color="auto" w:fill="auto"/>
            <w:noWrap/>
            <w:vAlign w:val="bottom"/>
            <w:hideMark/>
          </w:tcPr>
          <w:p w14:paraId="0BCC6658" w14:textId="77777777" w:rsidR="00A22FA3" w:rsidRPr="00A22FA3" w:rsidRDefault="00A22FA3" w:rsidP="00A22FA3">
            <w:pPr>
              <w:rPr>
                <w:rFonts w:ascii="Calibri" w:hAnsi="Calibri" w:cs="Calibri"/>
                <w:b/>
                <w:bCs/>
                <w:color w:val="1E3A8A"/>
                <w:sz w:val="22"/>
                <w:szCs w:val="22"/>
                <w:lang w:val="en-US" w:eastAsia="en-US"/>
              </w:rPr>
            </w:pPr>
            <w:r w:rsidRPr="00A22FA3">
              <w:rPr>
                <w:rFonts w:ascii="Calibri" w:hAnsi="Calibri" w:cs="Calibri"/>
                <w:b/>
                <w:bCs/>
                <w:color w:val="1E3A8A"/>
                <w:sz w:val="22"/>
                <w:szCs w:val="22"/>
                <w:lang w:val="en-US" w:eastAsia="en-US"/>
              </w:rPr>
              <w:t xml:space="preserve">1. </w:t>
            </w:r>
            <w:proofErr w:type="spellStart"/>
            <w:r w:rsidRPr="00A22FA3">
              <w:rPr>
                <w:rFonts w:ascii="Calibri" w:hAnsi="Calibri" w:cs="Calibri"/>
                <w:b/>
                <w:bCs/>
                <w:color w:val="1E3A8A"/>
                <w:sz w:val="22"/>
                <w:szCs w:val="22"/>
                <w:lang w:val="en-US" w:eastAsia="en-US"/>
              </w:rPr>
              <w:t>Αξί</w:t>
            </w:r>
            <w:proofErr w:type="spellEnd"/>
            <w:r w:rsidRPr="00A22FA3">
              <w:rPr>
                <w:rFonts w:ascii="Calibri" w:hAnsi="Calibri" w:cs="Calibri"/>
                <w:b/>
                <w:bCs/>
                <w:color w:val="1E3A8A"/>
                <w:sz w:val="22"/>
                <w:szCs w:val="22"/>
                <w:lang w:val="en-US" w:eastAsia="en-US"/>
              </w:rPr>
              <w:t xml:space="preserve">α </w:t>
            </w:r>
            <w:proofErr w:type="spellStart"/>
            <w:r w:rsidRPr="00A22FA3">
              <w:rPr>
                <w:rFonts w:ascii="Calibri" w:hAnsi="Calibri" w:cs="Calibri"/>
                <w:b/>
                <w:bCs/>
                <w:color w:val="1E3A8A"/>
                <w:sz w:val="22"/>
                <w:szCs w:val="22"/>
                <w:lang w:val="en-US" w:eastAsia="en-US"/>
              </w:rPr>
              <w:t>Συν</w:t>
            </w:r>
            <w:proofErr w:type="spellEnd"/>
            <w:r w:rsidRPr="00A22FA3">
              <w:rPr>
                <w:rFonts w:ascii="Calibri" w:hAnsi="Calibri" w:cs="Calibri"/>
                <w:b/>
                <w:bCs/>
                <w:color w:val="1E3A8A"/>
                <w:sz w:val="22"/>
                <w:szCs w:val="22"/>
                <w:lang w:val="en-US" w:eastAsia="en-US"/>
              </w:rPr>
              <w:t xml:space="preserve">αλλαγών </w:t>
            </w:r>
            <w:proofErr w:type="spellStart"/>
            <w:r w:rsidRPr="00A22FA3">
              <w:rPr>
                <w:rFonts w:ascii="Calibri" w:hAnsi="Calibri" w:cs="Calibri"/>
                <w:b/>
                <w:bCs/>
                <w:color w:val="1E3A8A"/>
                <w:sz w:val="22"/>
                <w:szCs w:val="22"/>
                <w:lang w:val="en-US" w:eastAsia="en-US"/>
              </w:rPr>
              <w:t>σε</w:t>
            </w:r>
            <w:proofErr w:type="spellEnd"/>
            <w:r w:rsidRPr="00A22FA3">
              <w:rPr>
                <w:rFonts w:ascii="Calibri" w:hAnsi="Calibri" w:cs="Calibri"/>
                <w:b/>
                <w:bCs/>
                <w:color w:val="1E3A8A"/>
                <w:sz w:val="22"/>
                <w:szCs w:val="22"/>
                <w:lang w:val="en-US" w:eastAsia="en-US"/>
              </w:rPr>
              <w:t xml:space="preserve"> </w:t>
            </w:r>
            <w:proofErr w:type="spellStart"/>
            <w:r w:rsidRPr="00A22FA3">
              <w:rPr>
                <w:rFonts w:ascii="Calibri" w:hAnsi="Calibri" w:cs="Calibri"/>
                <w:b/>
                <w:bCs/>
                <w:color w:val="1E3A8A"/>
                <w:sz w:val="22"/>
                <w:szCs w:val="22"/>
                <w:lang w:val="en-US" w:eastAsia="en-US"/>
              </w:rPr>
              <w:t>Ευρώ</w:t>
            </w:r>
            <w:proofErr w:type="spellEnd"/>
            <w:r w:rsidRPr="00A22FA3">
              <w:rPr>
                <w:rFonts w:ascii="Calibri" w:hAnsi="Calibri" w:cs="Calibri"/>
                <w:b/>
                <w:bCs/>
                <w:color w:val="1E3A8A"/>
                <w:sz w:val="22"/>
                <w:szCs w:val="22"/>
                <w:lang w:val="en-US" w:eastAsia="en-US"/>
              </w:rPr>
              <w:t xml:space="preserve"> (€)</w:t>
            </w:r>
          </w:p>
        </w:tc>
        <w:tc>
          <w:tcPr>
            <w:tcW w:w="1580" w:type="dxa"/>
            <w:tcBorders>
              <w:top w:val="nil"/>
              <w:left w:val="nil"/>
              <w:bottom w:val="nil"/>
              <w:right w:val="nil"/>
            </w:tcBorders>
            <w:shd w:val="clear" w:color="auto" w:fill="auto"/>
            <w:noWrap/>
            <w:vAlign w:val="bottom"/>
            <w:hideMark/>
          </w:tcPr>
          <w:p w14:paraId="3B7EEAED" w14:textId="77777777" w:rsidR="00A22FA3" w:rsidRPr="00A22FA3" w:rsidRDefault="00A22FA3" w:rsidP="00A22FA3">
            <w:pPr>
              <w:rPr>
                <w:rFonts w:ascii="Calibri" w:hAnsi="Calibri" w:cs="Calibri"/>
                <w:b/>
                <w:bCs/>
                <w:color w:val="1E3A8A"/>
                <w:sz w:val="22"/>
                <w:szCs w:val="22"/>
                <w:lang w:val="en-US" w:eastAsia="en-US"/>
              </w:rPr>
            </w:pPr>
          </w:p>
        </w:tc>
        <w:tc>
          <w:tcPr>
            <w:tcW w:w="2160" w:type="dxa"/>
            <w:tcBorders>
              <w:top w:val="nil"/>
              <w:left w:val="nil"/>
              <w:bottom w:val="nil"/>
              <w:right w:val="nil"/>
            </w:tcBorders>
            <w:shd w:val="clear" w:color="auto" w:fill="auto"/>
            <w:noWrap/>
            <w:vAlign w:val="bottom"/>
            <w:hideMark/>
          </w:tcPr>
          <w:p w14:paraId="0F075F57" w14:textId="77777777" w:rsidR="00A22FA3" w:rsidRPr="00A22FA3" w:rsidRDefault="00A22FA3" w:rsidP="00A22FA3">
            <w:pPr>
              <w:rPr>
                <w:sz w:val="20"/>
                <w:szCs w:val="20"/>
                <w:lang w:val="en-US" w:eastAsia="en-US"/>
              </w:rPr>
            </w:pPr>
          </w:p>
        </w:tc>
        <w:tc>
          <w:tcPr>
            <w:tcW w:w="1580" w:type="dxa"/>
            <w:tcBorders>
              <w:top w:val="nil"/>
              <w:left w:val="nil"/>
              <w:bottom w:val="nil"/>
              <w:right w:val="nil"/>
            </w:tcBorders>
            <w:shd w:val="clear" w:color="auto" w:fill="auto"/>
            <w:noWrap/>
            <w:vAlign w:val="bottom"/>
            <w:hideMark/>
          </w:tcPr>
          <w:p w14:paraId="28E14CE5" w14:textId="77777777" w:rsidR="00A22FA3" w:rsidRPr="00A22FA3" w:rsidRDefault="00A22FA3" w:rsidP="00A22FA3">
            <w:pPr>
              <w:rPr>
                <w:sz w:val="20"/>
                <w:szCs w:val="20"/>
                <w:lang w:val="en-US" w:eastAsia="en-US"/>
              </w:rPr>
            </w:pPr>
          </w:p>
        </w:tc>
      </w:tr>
      <w:tr w:rsidR="00A22FA3" w:rsidRPr="00A22FA3" w14:paraId="42296BFB" w14:textId="77777777" w:rsidTr="00A22FA3">
        <w:tblPrEx>
          <w:jc w:val="left"/>
        </w:tblPrEx>
        <w:trPr>
          <w:trHeight w:val="559"/>
        </w:trPr>
        <w:tc>
          <w:tcPr>
            <w:tcW w:w="1260" w:type="dxa"/>
            <w:tcBorders>
              <w:top w:val="nil"/>
              <w:left w:val="nil"/>
              <w:bottom w:val="nil"/>
              <w:right w:val="nil"/>
            </w:tcBorders>
            <w:shd w:val="clear" w:color="1E3A8A" w:fill="1E3A8A"/>
            <w:vAlign w:val="center"/>
            <w:hideMark/>
          </w:tcPr>
          <w:p w14:paraId="1CB319AB"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Έτος</w:t>
            </w:r>
            <w:proofErr w:type="spellEnd"/>
          </w:p>
        </w:tc>
        <w:tc>
          <w:tcPr>
            <w:tcW w:w="2080" w:type="dxa"/>
            <w:tcBorders>
              <w:top w:val="nil"/>
              <w:left w:val="nil"/>
              <w:bottom w:val="nil"/>
              <w:right w:val="nil"/>
            </w:tcBorders>
            <w:shd w:val="clear" w:color="1E3A8A" w:fill="1E3A8A"/>
            <w:vAlign w:val="center"/>
            <w:hideMark/>
          </w:tcPr>
          <w:p w14:paraId="1DEC76B0"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Ελληνικές</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Εξ</w:t>
            </w:r>
            <w:proofErr w:type="spellEnd"/>
            <w:r w:rsidRPr="00A22FA3">
              <w:rPr>
                <w:rFonts w:ascii="Calibri" w:hAnsi="Calibri" w:cs="Calibri"/>
                <w:b/>
                <w:bCs/>
                <w:color w:val="FFFFFF"/>
                <w:sz w:val="20"/>
                <w:szCs w:val="20"/>
                <w:lang w:val="en-US" w:eastAsia="en-US"/>
              </w:rPr>
              <w:t>αγωγές (€)</w:t>
            </w:r>
          </w:p>
        </w:tc>
        <w:tc>
          <w:tcPr>
            <w:tcW w:w="1580" w:type="dxa"/>
            <w:tcBorders>
              <w:top w:val="nil"/>
              <w:left w:val="nil"/>
              <w:bottom w:val="nil"/>
              <w:right w:val="nil"/>
            </w:tcBorders>
            <w:shd w:val="clear" w:color="1E3A8A" w:fill="1E3A8A"/>
            <w:vAlign w:val="center"/>
            <w:hideMark/>
          </w:tcPr>
          <w:p w14:paraId="1391EEF2"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Ετήσι</w:t>
            </w:r>
            <w:proofErr w:type="spellEnd"/>
            <w:r w:rsidRPr="00A22FA3">
              <w:rPr>
                <w:rFonts w:ascii="Calibri" w:hAnsi="Calibri" w:cs="Calibri"/>
                <w:b/>
                <w:bCs/>
                <w:color w:val="FFFFFF"/>
                <w:sz w:val="20"/>
                <w:szCs w:val="20"/>
                <w:lang w:val="en-US" w:eastAsia="en-US"/>
              </w:rPr>
              <w:t xml:space="preserve">α </w:t>
            </w:r>
            <w:proofErr w:type="spellStart"/>
            <w:r w:rsidRPr="00A22FA3">
              <w:rPr>
                <w:rFonts w:ascii="Calibri" w:hAnsi="Calibri" w:cs="Calibri"/>
                <w:b/>
                <w:bCs/>
                <w:color w:val="FFFFFF"/>
                <w:sz w:val="20"/>
                <w:szCs w:val="20"/>
                <w:lang w:val="en-US" w:eastAsia="en-US"/>
              </w:rPr>
              <w:t>Μετ</w:t>
            </w:r>
            <w:proofErr w:type="spellEnd"/>
            <w:r w:rsidRPr="00A22FA3">
              <w:rPr>
                <w:rFonts w:ascii="Calibri" w:hAnsi="Calibri" w:cs="Calibri"/>
                <w:b/>
                <w:bCs/>
                <w:color w:val="FFFFFF"/>
                <w:sz w:val="20"/>
                <w:szCs w:val="20"/>
                <w:lang w:val="en-US" w:eastAsia="en-US"/>
              </w:rPr>
              <w:t>αβολή</w:t>
            </w:r>
          </w:p>
        </w:tc>
        <w:tc>
          <w:tcPr>
            <w:tcW w:w="2160" w:type="dxa"/>
            <w:tcBorders>
              <w:top w:val="nil"/>
              <w:left w:val="nil"/>
              <w:bottom w:val="nil"/>
              <w:right w:val="nil"/>
            </w:tcBorders>
            <w:shd w:val="clear" w:color="1E3A8A" w:fill="1E3A8A"/>
            <w:vAlign w:val="center"/>
            <w:hideMark/>
          </w:tcPr>
          <w:p w14:paraId="60886572"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Ελληνικές</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Εισ</w:t>
            </w:r>
            <w:proofErr w:type="spellEnd"/>
            <w:r w:rsidRPr="00A22FA3">
              <w:rPr>
                <w:rFonts w:ascii="Calibri" w:hAnsi="Calibri" w:cs="Calibri"/>
                <w:b/>
                <w:bCs/>
                <w:color w:val="FFFFFF"/>
                <w:sz w:val="20"/>
                <w:szCs w:val="20"/>
                <w:lang w:val="en-US" w:eastAsia="en-US"/>
              </w:rPr>
              <w:t>αγωγές (€)</w:t>
            </w:r>
          </w:p>
        </w:tc>
        <w:tc>
          <w:tcPr>
            <w:tcW w:w="1580" w:type="dxa"/>
            <w:tcBorders>
              <w:top w:val="nil"/>
              <w:left w:val="nil"/>
              <w:bottom w:val="nil"/>
              <w:right w:val="nil"/>
            </w:tcBorders>
            <w:shd w:val="clear" w:color="1E3A8A" w:fill="1E3A8A"/>
            <w:vAlign w:val="center"/>
            <w:hideMark/>
          </w:tcPr>
          <w:p w14:paraId="6BA8B4B5"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Ετήσι</w:t>
            </w:r>
            <w:proofErr w:type="spellEnd"/>
            <w:r w:rsidRPr="00A22FA3">
              <w:rPr>
                <w:rFonts w:ascii="Calibri" w:hAnsi="Calibri" w:cs="Calibri"/>
                <w:b/>
                <w:bCs/>
                <w:color w:val="FFFFFF"/>
                <w:sz w:val="20"/>
                <w:szCs w:val="20"/>
                <w:lang w:val="en-US" w:eastAsia="en-US"/>
              </w:rPr>
              <w:t xml:space="preserve">α </w:t>
            </w:r>
            <w:proofErr w:type="spellStart"/>
            <w:r w:rsidRPr="00A22FA3">
              <w:rPr>
                <w:rFonts w:ascii="Calibri" w:hAnsi="Calibri" w:cs="Calibri"/>
                <w:b/>
                <w:bCs/>
                <w:color w:val="FFFFFF"/>
                <w:sz w:val="20"/>
                <w:szCs w:val="20"/>
                <w:lang w:val="en-US" w:eastAsia="en-US"/>
              </w:rPr>
              <w:t>Μετ</w:t>
            </w:r>
            <w:proofErr w:type="spellEnd"/>
            <w:r w:rsidRPr="00A22FA3">
              <w:rPr>
                <w:rFonts w:ascii="Calibri" w:hAnsi="Calibri" w:cs="Calibri"/>
                <w:b/>
                <w:bCs/>
                <w:color w:val="FFFFFF"/>
                <w:sz w:val="20"/>
                <w:szCs w:val="20"/>
                <w:lang w:val="en-US" w:eastAsia="en-US"/>
              </w:rPr>
              <w:t>αβολή</w:t>
            </w:r>
          </w:p>
        </w:tc>
      </w:tr>
      <w:tr w:rsidR="00A22FA3" w:rsidRPr="00A22FA3" w14:paraId="15D70CA8" w14:textId="77777777" w:rsidTr="00A22FA3">
        <w:tblPrEx>
          <w:jc w:val="left"/>
        </w:tblPrEx>
        <w:trPr>
          <w:trHeight w:val="402"/>
        </w:trPr>
        <w:tc>
          <w:tcPr>
            <w:tcW w:w="1260" w:type="dxa"/>
            <w:tcBorders>
              <w:top w:val="single" w:sz="4" w:space="0" w:color="E2E8F0"/>
              <w:left w:val="single" w:sz="4" w:space="0" w:color="E2E8F0"/>
              <w:bottom w:val="single" w:sz="4" w:space="0" w:color="E2E8F0"/>
              <w:right w:val="single" w:sz="4" w:space="0" w:color="E2E8F0"/>
            </w:tcBorders>
            <w:shd w:val="clear" w:color="auto" w:fill="auto"/>
            <w:noWrap/>
            <w:vAlign w:val="center"/>
            <w:hideMark/>
          </w:tcPr>
          <w:p w14:paraId="4A204922"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2024</w:t>
            </w:r>
          </w:p>
        </w:tc>
        <w:tc>
          <w:tcPr>
            <w:tcW w:w="2080" w:type="dxa"/>
            <w:tcBorders>
              <w:top w:val="single" w:sz="4" w:space="0" w:color="E2E8F0"/>
              <w:left w:val="nil"/>
              <w:bottom w:val="single" w:sz="4" w:space="0" w:color="E2E8F0"/>
              <w:right w:val="single" w:sz="4" w:space="0" w:color="E2E8F0"/>
            </w:tcBorders>
            <w:shd w:val="clear" w:color="auto" w:fill="auto"/>
            <w:noWrap/>
            <w:vAlign w:val="center"/>
            <w:hideMark/>
          </w:tcPr>
          <w:p w14:paraId="53A28C18"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86.822.259 €</w:t>
            </w:r>
          </w:p>
        </w:tc>
        <w:tc>
          <w:tcPr>
            <w:tcW w:w="1580" w:type="dxa"/>
            <w:tcBorders>
              <w:top w:val="single" w:sz="4" w:space="0" w:color="E2E8F0"/>
              <w:left w:val="nil"/>
              <w:bottom w:val="single" w:sz="4" w:space="0" w:color="E2E8F0"/>
              <w:right w:val="single" w:sz="4" w:space="0" w:color="E2E8F0"/>
            </w:tcBorders>
            <w:shd w:val="clear" w:color="auto" w:fill="auto"/>
            <w:noWrap/>
            <w:vAlign w:val="center"/>
            <w:hideMark/>
          </w:tcPr>
          <w:p w14:paraId="1DE56065"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w:t>
            </w:r>
          </w:p>
        </w:tc>
        <w:tc>
          <w:tcPr>
            <w:tcW w:w="2160" w:type="dxa"/>
            <w:tcBorders>
              <w:top w:val="single" w:sz="4" w:space="0" w:color="E2E8F0"/>
              <w:left w:val="nil"/>
              <w:bottom w:val="single" w:sz="4" w:space="0" w:color="E2E8F0"/>
              <w:right w:val="single" w:sz="4" w:space="0" w:color="E2E8F0"/>
            </w:tcBorders>
            <w:shd w:val="clear" w:color="auto" w:fill="auto"/>
            <w:noWrap/>
            <w:vAlign w:val="center"/>
            <w:hideMark/>
          </w:tcPr>
          <w:p w14:paraId="03AFB6D8"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11.901.966 €</w:t>
            </w:r>
          </w:p>
        </w:tc>
        <w:tc>
          <w:tcPr>
            <w:tcW w:w="1580" w:type="dxa"/>
            <w:tcBorders>
              <w:top w:val="single" w:sz="4" w:space="0" w:color="E2E8F0"/>
              <w:left w:val="nil"/>
              <w:bottom w:val="single" w:sz="4" w:space="0" w:color="E2E8F0"/>
              <w:right w:val="single" w:sz="4" w:space="0" w:color="E2E8F0"/>
            </w:tcBorders>
            <w:shd w:val="clear" w:color="auto" w:fill="auto"/>
            <w:noWrap/>
            <w:vAlign w:val="center"/>
            <w:hideMark/>
          </w:tcPr>
          <w:p w14:paraId="07064022"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w:t>
            </w:r>
          </w:p>
        </w:tc>
      </w:tr>
      <w:tr w:rsidR="00A22FA3" w:rsidRPr="00A22FA3" w14:paraId="54BE1B8A" w14:textId="77777777" w:rsidTr="00A22FA3">
        <w:tblPrEx>
          <w:jc w:val="left"/>
        </w:tblPrEx>
        <w:trPr>
          <w:trHeight w:val="402"/>
        </w:trPr>
        <w:tc>
          <w:tcPr>
            <w:tcW w:w="1260" w:type="dxa"/>
            <w:tcBorders>
              <w:top w:val="nil"/>
              <w:left w:val="single" w:sz="4" w:space="0" w:color="E2E8F0"/>
              <w:bottom w:val="single" w:sz="4" w:space="0" w:color="E2E8F0"/>
              <w:right w:val="single" w:sz="4" w:space="0" w:color="E2E8F0"/>
            </w:tcBorders>
            <w:shd w:val="clear" w:color="F8FAFC" w:fill="F8FAFC"/>
            <w:noWrap/>
            <w:vAlign w:val="center"/>
            <w:hideMark/>
          </w:tcPr>
          <w:p w14:paraId="760D3443"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2025</w:t>
            </w:r>
          </w:p>
        </w:tc>
        <w:tc>
          <w:tcPr>
            <w:tcW w:w="2080" w:type="dxa"/>
            <w:tcBorders>
              <w:top w:val="nil"/>
              <w:left w:val="nil"/>
              <w:bottom w:val="single" w:sz="4" w:space="0" w:color="E2E8F0"/>
              <w:right w:val="single" w:sz="4" w:space="0" w:color="E2E8F0"/>
            </w:tcBorders>
            <w:shd w:val="clear" w:color="F8FAFC" w:fill="F8FAFC"/>
            <w:noWrap/>
            <w:vAlign w:val="center"/>
            <w:hideMark/>
          </w:tcPr>
          <w:p w14:paraId="739AE71F"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123.986.431 €</w:t>
            </w:r>
          </w:p>
        </w:tc>
        <w:tc>
          <w:tcPr>
            <w:tcW w:w="1580" w:type="dxa"/>
            <w:tcBorders>
              <w:top w:val="nil"/>
              <w:left w:val="nil"/>
              <w:bottom w:val="single" w:sz="4" w:space="0" w:color="E2E8F0"/>
              <w:right w:val="single" w:sz="4" w:space="0" w:color="E2E8F0"/>
            </w:tcBorders>
            <w:shd w:val="clear" w:color="F8FAFC" w:fill="F8FAFC"/>
            <w:noWrap/>
            <w:vAlign w:val="center"/>
            <w:hideMark/>
          </w:tcPr>
          <w:p w14:paraId="18A188F9"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+42,8%</w:t>
            </w:r>
          </w:p>
        </w:tc>
        <w:tc>
          <w:tcPr>
            <w:tcW w:w="2160" w:type="dxa"/>
            <w:tcBorders>
              <w:top w:val="nil"/>
              <w:left w:val="nil"/>
              <w:bottom w:val="single" w:sz="4" w:space="0" w:color="E2E8F0"/>
              <w:right w:val="single" w:sz="4" w:space="0" w:color="E2E8F0"/>
            </w:tcBorders>
            <w:shd w:val="clear" w:color="F8FAFC" w:fill="F8FAFC"/>
            <w:noWrap/>
            <w:vAlign w:val="center"/>
            <w:hideMark/>
          </w:tcPr>
          <w:p w14:paraId="081083EA"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4.245.290 €</w:t>
            </w:r>
          </w:p>
        </w:tc>
        <w:tc>
          <w:tcPr>
            <w:tcW w:w="1580" w:type="dxa"/>
            <w:tcBorders>
              <w:top w:val="nil"/>
              <w:left w:val="nil"/>
              <w:bottom w:val="single" w:sz="4" w:space="0" w:color="E2E8F0"/>
              <w:right w:val="single" w:sz="4" w:space="0" w:color="E2E8F0"/>
            </w:tcBorders>
            <w:shd w:val="clear" w:color="F8FAFC" w:fill="F8FAFC"/>
            <w:noWrap/>
            <w:vAlign w:val="center"/>
            <w:hideMark/>
          </w:tcPr>
          <w:p w14:paraId="7CA1581C"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FF0000"/>
                <w:sz w:val="20"/>
                <w:szCs w:val="20"/>
                <w:lang w:val="en-US" w:eastAsia="en-US"/>
              </w:rPr>
              <w:t>-64,3%</w:t>
            </w:r>
          </w:p>
        </w:tc>
      </w:tr>
      <w:tr w:rsidR="00A22FA3" w:rsidRPr="00A22FA3" w14:paraId="7D5339D5" w14:textId="77777777" w:rsidTr="00A22FA3">
        <w:tblPrEx>
          <w:jc w:val="left"/>
        </w:tblPrEx>
        <w:trPr>
          <w:trHeight w:val="402"/>
        </w:trPr>
        <w:tc>
          <w:tcPr>
            <w:tcW w:w="1260" w:type="dxa"/>
            <w:tcBorders>
              <w:top w:val="nil"/>
              <w:left w:val="single" w:sz="4" w:space="0" w:color="E2E8F0"/>
              <w:bottom w:val="double" w:sz="6" w:space="0" w:color="1E293B"/>
              <w:right w:val="single" w:sz="4" w:space="0" w:color="E2E8F0"/>
            </w:tcBorders>
            <w:shd w:val="clear" w:color="auto" w:fill="auto"/>
            <w:noWrap/>
            <w:vAlign w:val="center"/>
            <w:hideMark/>
          </w:tcPr>
          <w:p w14:paraId="1C33503B"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2026</w:t>
            </w:r>
          </w:p>
        </w:tc>
        <w:tc>
          <w:tcPr>
            <w:tcW w:w="2080" w:type="dxa"/>
            <w:tcBorders>
              <w:top w:val="nil"/>
              <w:left w:val="nil"/>
              <w:bottom w:val="double" w:sz="6" w:space="0" w:color="1E293B"/>
              <w:right w:val="single" w:sz="4" w:space="0" w:color="E2E8F0"/>
            </w:tcBorders>
            <w:shd w:val="clear" w:color="auto" w:fill="auto"/>
            <w:noWrap/>
            <w:vAlign w:val="center"/>
            <w:hideMark/>
          </w:tcPr>
          <w:p w14:paraId="7799ABC4"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167.029.544 €</w:t>
            </w:r>
          </w:p>
        </w:tc>
        <w:tc>
          <w:tcPr>
            <w:tcW w:w="1580" w:type="dxa"/>
            <w:tcBorders>
              <w:top w:val="nil"/>
              <w:left w:val="nil"/>
              <w:bottom w:val="double" w:sz="6" w:space="0" w:color="1E293B"/>
              <w:right w:val="single" w:sz="4" w:space="0" w:color="E2E8F0"/>
            </w:tcBorders>
            <w:shd w:val="clear" w:color="auto" w:fill="auto"/>
            <w:noWrap/>
            <w:vAlign w:val="center"/>
            <w:hideMark/>
          </w:tcPr>
          <w:p w14:paraId="5D5F7137"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+34,7%</w:t>
            </w:r>
          </w:p>
        </w:tc>
        <w:tc>
          <w:tcPr>
            <w:tcW w:w="2160" w:type="dxa"/>
            <w:tcBorders>
              <w:top w:val="nil"/>
              <w:left w:val="nil"/>
              <w:bottom w:val="double" w:sz="6" w:space="0" w:color="1E293B"/>
              <w:right w:val="single" w:sz="4" w:space="0" w:color="E2E8F0"/>
            </w:tcBorders>
            <w:shd w:val="clear" w:color="auto" w:fill="auto"/>
            <w:noWrap/>
            <w:vAlign w:val="center"/>
            <w:hideMark/>
          </w:tcPr>
          <w:p w14:paraId="3187444A"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4.050.494 €</w:t>
            </w:r>
          </w:p>
        </w:tc>
        <w:tc>
          <w:tcPr>
            <w:tcW w:w="1580" w:type="dxa"/>
            <w:tcBorders>
              <w:top w:val="nil"/>
              <w:left w:val="nil"/>
              <w:bottom w:val="double" w:sz="6" w:space="0" w:color="1E293B"/>
              <w:right w:val="single" w:sz="4" w:space="0" w:color="E2E8F0"/>
            </w:tcBorders>
            <w:shd w:val="clear" w:color="auto" w:fill="auto"/>
            <w:noWrap/>
            <w:vAlign w:val="center"/>
            <w:hideMark/>
          </w:tcPr>
          <w:p w14:paraId="2D53A7A5"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FF0000"/>
                <w:sz w:val="20"/>
                <w:szCs w:val="20"/>
                <w:lang w:val="en-US" w:eastAsia="en-US"/>
              </w:rPr>
              <w:t>-4,6%</w:t>
            </w:r>
          </w:p>
        </w:tc>
      </w:tr>
    </w:tbl>
    <w:p w14:paraId="2818DAF6" w14:textId="3B27B2F2" w:rsidR="00B0296A" w:rsidRDefault="00B0296A" w:rsidP="00BA4C70">
      <w:pPr>
        <w:spacing w:after="240" w:line="276" w:lineRule="auto"/>
        <w:jc w:val="both"/>
        <w:rPr>
          <w:rFonts w:asciiTheme="minorHAnsi" w:hAnsiTheme="minorHAnsi" w:cstheme="minorHAnsi"/>
          <w:sz w:val="22"/>
          <w:szCs w:val="22"/>
        </w:rPr>
      </w:pPr>
    </w:p>
    <w:p w14:paraId="3DF8DF32" w14:textId="7D08B325" w:rsidR="00A22FA3" w:rsidRDefault="00FD3F7C" w:rsidP="00BA4C70">
      <w:pPr>
        <w:spacing w:after="240" w:line="276" w:lineRule="auto"/>
        <w:jc w:val="both"/>
        <w:rPr>
          <w:rFonts w:asciiTheme="minorHAnsi" w:hAnsiTheme="minorHAnsi" w:cstheme="minorHAnsi"/>
          <w:sz w:val="22"/>
          <w:szCs w:val="22"/>
        </w:rPr>
      </w:pPr>
      <w:r>
        <w:rPr>
          <w:noProof/>
        </w:rPr>
        <w:lastRenderedPageBreak/>
        <w:drawing>
          <wp:anchor distT="548640" distB="548640" distL="114300" distR="114300" simplePos="0" relativeHeight="251660288" behindDoc="1" locked="0" layoutInCell="1" allowOverlap="1" wp14:anchorId="356A4C40" wp14:editId="0BB77B39">
            <wp:simplePos x="0" y="0"/>
            <wp:positionH relativeFrom="margin">
              <wp:align>left</wp:align>
            </wp:positionH>
            <wp:positionV relativeFrom="paragraph">
              <wp:posOffset>403860</wp:posOffset>
            </wp:positionV>
            <wp:extent cx="3931920" cy="2295144"/>
            <wp:effectExtent l="0" t="0" r="11430" b="10160"/>
            <wp:wrapTight wrapText="bothSides">
              <wp:wrapPolygon edited="0">
                <wp:start x="0" y="0"/>
                <wp:lineTo x="0" y="21516"/>
                <wp:lineTo x="21558" y="21516"/>
                <wp:lineTo x="21558" y="0"/>
                <wp:lineTo x="0" y="0"/>
              </wp:wrapPolygon>
            </wp:wrapTight>
            <wp:docPr id="1"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A22FA3">
        <w:rPr>
          <w:rFonts w:asciiTheme="minorHAnsi" w:hAnsiTheme="minorHAnsi" w:cstheme="minorHAnsi"/>
          <w:sz w:val="22"/>
          <w:szCs w:val="22"/>
        </w:rPr>
        <w:t xml:space="preserve">Συγκρίνοντας την περίοδο Ιανουαρίου – Αυγούστου, η αξία των ελληνικών εξαγωγών αυξήθηκε κατά 42,8% το 2025 έναντι του 2024, </w:t>
      </w:r>
      <w:r>
        <w:rPr>
          <w:rFonts w:asciiTheme="minorHAnsi" w:hAnsiTheme="minorHAnsi" w:cstheme="minorHAnsi"/>
          <w:sz w:val="22"/>
          <w:szCs w:val="22"/>
        </w:rPr>
        <w:t xml:space="preserve">σε €124 εκ. από €87 εκ., </w:t>
      </w:r>
      <w:r w:rsidR="00A22FA3">
        <w:rPr>
          <w:rFonts w:asciiTheme="minorHAnsi" w:hAnsiTheme="minorHAnsi" w:cstheme="minorHAnsi"/>
          <w:sz w:val="22"/>
          <w:szCs w:val="22"/>
        </w:rPr>
        <w:t>και κατά 34,7% το 2026 έναντι του 2025</w:t>
      </w:r>
      <w:r>
        <w:rPr>
          <w:rFonts w:asciiTheme="minorHAnsi" w:hAnsiTheme="minorHAnsi" w:cstheme="minorHAnsi"/>
          <w:sz w:val="22"/>
          <w:szCs w:val="22"/>
        </w:rPr>
        <w:t xml:space="preserve">, σε €167 εκ. </w:t>
      </w:r>
    </w:p>
    <w:p w14:paraId="0677A921" w14:textId="14CF0F9D" w:rsidR="00A22FA3" w:rsidRDefault="00A22FA3"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Αντιστοίχως, η αξία των εξαγωγών των ΗΠΑ προς την Ελλάδα μειώθηκε κατά 64,3%</w:t>
      </w:r>
      <w:r w:rsidR="00FD3F7C">
        <w:rPr>
          <w:rFonts w:asciiTheme="minorHAnsi" w:hAnsiTheme="minorHAnsi" w:cstheme="minorHAnsi"/>
          <w:sz w:val="22"/>
          <w:szCs w:val="22"/>
        </w:rPr>
        <w:t>,</w:t>
      </w:r>
      <w:r>
        <w:rPr>
          <w:rFonts w:asciiTheme="minorHAnsi" w:hAnsiTheme="minorHAnsi" w:cstheme="minorHAnsi"/>
          <w:sz w:val="22"/>
          <w:szCs w:val="22"/>
        </w:rPr>
        <w:t xml:space="preserve"> και περαιτέρω εφέτος κατά 4,6%.</w:t>
      </w:r>
      <w:r w:rsidR="00FD3F7C">
        <w:rPr>
          <w:rFonts w:asciiTheme="minorHAnsi" w:hAnsiTheme="minorHAnsi" w:cstheme="minorHAnsi"/>
          <w:sz w:val="22"/>
          <w:szCs w:val="22"/>
        </w:rPr>
        <w:t xml:space="preserve"> Σε απόλυτους αριθμούς για τα αντίστοιχα οκτάμηνα,  το 2026 μειώθηκαν σε €4 εκ. από €4,2 εκ. το 2025 και €12 εκ. το 2024. </w:t>
      </w:r>
    </w:p>
    <w:p w14:paraId="6D2B58F6" w14:textId="58CEAA9D" w:rsidR="00FD3F7C" w:rsidRPr="009C12B3" w:rsidRDefault="00FD3F7C" w:rsidP="00FD3F7C">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Το ισοζύγιο είναι συντριπτικό υπέρ της Ελλάδας, καθώς στο οκτάμηνο 2026 οι ελληνικές εξαγωγές ανήλθαν σε €167 εκ. έναντι εισαγωγών ύψους μόλις €4 εκ. Επί πλέον, η σύγκριση των εμπορικών ροών παρουσιάζει και ποιοτικό πλεονέκτημα υπέρ της Ελλάδας. Οι εξαγωγές των ΗΠΑ αφορούν κυρίως </w:t>
      </w:r>
      <w:proofErr w:type="spellStart"/>
      <w:r>
        <w:rPr>
          <w:rFonts w:asciiTheme="minorHAnsi" w:hAnsiTheme="minorHAnsi" w:cstheme="minorHAnsi"/>
          <w:sz w:val="22"/>
          <w:szCs w:val="22"/>
        </w:rPr>
        <w:t>σκραπ</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αλουμίνου</w:t>
      </w:r>
      <w:proofErr w:type="spellEnd"/>
      <w:r>
        <w:rPr>
          <w:rFonts w:asciiTheme="minorHAnsi" w:hAnsiTheme="minorHAnsi" w:cstheme="minorHAnsi"/>
          <w:sz w:val="22"/>
          <w:szCs w:val="22"/>
        </w:rPr>
        <w:t>, ενώ οι ελληνικές κυρίως φύλλα αλουμινίου, αλουμινόχαρτο και κουφώματα αλουμινίου, δηλαδή ενδιάμεσα προϊόντα.</w:t>
      </w:r>
    </w:p>
    <w:tbl>
      <w:tblPr>
        <w:tblW w:w="8672" w:type="dxa"/>
        <w:jc w:val="center"/>
        <w:tblLook w:val="04A0" w:firstRow="1" w:lastRow="0" w:firstColumn="1" w:lastColumn="0" w:noHBand="0" w:noVBand="1"/>
      </w:tblPr>
      <w:tblGrid>
        <w:gridCol w:w="1261"/>
        <w:gridCol w:w="2083"/>
        <w:gridCol w:w="1583"/>
        <w:gridCol w:w="2163"/>
        <w:gridCol w:w="1582"/>
      </w:tblGrid>
      <w:tr w:rsidR="00A22FA3" w:rsidRPr="00A22FA3" w14:paraId="0C661A73" w14:textId="77777777" w:rsidTr="00A22FA3">
        <w:trPr>
          <w:trHeight w:val="414"/>
          <w:jc w:val="center"/>
        </w:trPr>
        <w:tc>
          <w:tcPr>
            <w:tcW w:w="4927" w:type="dxa"/>
            <w:gridSpan w:val="3"/>
            <w:tcBorders>
              <w:top w:val="nil"/>
              <w:left w:val="nil"/>
              <w:bottom w:val="nil"/>
              <w:right w:val="nil"/>
            </w:tcBorders>
            <w:shd w:val="clear" w:color="auto" w:fill="auto"/>
            <w:noWrap/>
            <w:vAlign w:val="bottom"/>
            <w:hideMark/>
          </w:tcPr>
          <w:p w14:paraId="12970EDB" w14:textId="7DE05478" w:rsidR="00A22FA3" w:rsidRPr="00A22FA3" w:rsidRDefault="00A22FA3" w:rsidP="00A22FA3">
            <w:pPr>
              <w:rPr>
                <w:rFonts w:ascii="Calibri" w:hAnsi="Calibri" w:cs="Calibri"/>
                <w:b/>
                <w:bCs/>
                <w:color w:val="1E3A8A"/>
                <w:sz w:val="22"/>
                <w:szCs w:val="22"/>
                <w:lang w:eastAsia="en-US"/>
              </w:rPr>
            </w:pPr>
            <w:r w:rsidRPr="00A22FA3">
              <w:rPr>
                <w:rFonts w:ascii="Calibri" w:hAnsi="Calibri" w:cs="Calibri"/>
                <w:b/>
                <w:bCs/>
                <w:color w:val="1E3A8A"/>
                <w:sz w:val="22"/>
                <w:szCs w:val="22"/>
                <w:lang w:eastAsia="en-US"/>
              </w:rPr>
              <w:t>2. Όγκος Συναλλαγών σε Χιλιόγραμμα (</w:t>
            </w:r>
            <w:r w:rsidRPr="00A22FA3">
              <w:rPr>
                <w:rFonts w:ascii="Calibri" w:hAnsi="Calibri" w:cs="Calibri"/>
                <w:b/>
                <w:bCs/>
                <w:color w:val="1E3A8A"/>
                <w:sz w:val="22"/>
                <w:szCs w:val="22"/>
                <w:lang w:val="en-US" w:eastAsia="en-US"/>
              </w:rPr>
              <w:t>kg</w:t>
            </w:r>
            <w:r w:rsidRPr="00A22FA3">
              <w:rPr>
                <w:rFonts w:ascii="Calibri" w:hAnsi="Calibri" w:cs="Calibri"/>
                <w:b/>
                <w:bCs/>
                <w:color w:val="1E3A8A"/>
                <w:sz w:val="22"/>
                <w:szCs w:val="22"/>
                <w:lang w:eastAsia="en-US"/>
              </w:rPr>
              <w:t>)</w:t>
            </w:r>
          </w:p>
        </w:tc>
        <w:tc>
          <w:tcPr>
            <w:tcW w:w="2163" w:type="dxa"/>
            <w:tcBorders>
              <w:top w:val="nil"/>
              <w:left w:val="nil"/>
              <w:bottom w:val="nil"/>
              <w:right w:val="nil"/>
            </w:tcBorders>
            <w:shd w:val="clear" w:color="auto" w:fill="auto"/>
            <w:noWrap/>
            <w:vAlign w:val="bottom"/>
            <w:hideMark/>
          </w:tcPr>
          <w:p w14:paraId="4821A706" w14:textId="77777777" w:rsidR="00A22FA3" w:rsidRPr="00A22FA3" w:rsidRDefault="00A22FA3" w:rsidP="00A22FA3">
            <w:pPr>
              <w:rPr>
                <w:rFonts w:ascii="Calibri" w:hAnsi="Calibri" w:cs="Calibri"/>
                <w:b/>
                <w:bCs/>
                <w:color w:val="1E3A8A"/>
                <w:sz w:val="22"/>
                <w:szCs w:val="22"/>
                <w:lang w:eastAsia="en-US"/>
              </w:rPr>
            </w:pPr>
          </w:p>
        </w:tc>
        <w:tc>
          <w:tcPr>
            <w:tcW w:w="1582" w:type="dxa"/>
            <w:tcBorders>
              <w:top w:val="nil"/>
              <w:left w:val="nil"/>
              <w:bottom w:val="nil"/>
              <w:right w:val="nil"/>
            </w:tcBorders>
            <w:shd w:val="clear" w:color="auto" w:fill="auto"/>
            <w:noWrap/>
            <w:vAlign w:val="bottom"/>
            <w:hideMark/>
          </w:tcPr>
          <w:p w14:paraId="4E116540" w14:textId="77777777" w:rsidR="00A22FA3" w:rsidRPr="00A22FA3" w:rsidRDefault="00A22FA3" w:rsidP="00A22FA3">
            <w:pPr>
              <w:rPr>
                <w:sz w:val="20"/>
                <w:szCs w:val="20"/>
                <w:lang w:eastAsia="en-US"/>
              </w:rPr>
            </w:pPr>
          </w:p>
        </w:tc>
      </w:tr>
      <w:tr w:rsidR="00A22FA3" w:rsidRPr="00A22FA3" w14:paraId="39BA5085" w14:textId="77777777" w:rsidTr="00A22FA3">
        <w:trPr>
          <w:trHeight w:val="576"/>
          <w:jc w:val="center"/>
        </w:trPr>
        <w:tc>
          <w:tcPr>
            <w:tcW w:w="1261" w:type="dxa"/>
            <w:tcBorders>
              <w:top w:val="nil"/>
              <w:left w:val="nil"/>
              <w:bottom w:val="nil"/>
              <w:right w:val="nil"/>
            </w:tcBorders>
            <w:shd w:val="clear" w:color="1E3A8A" w:fill="1E3A8A"/>
            <w:vAlign w:val="center"/>
            <w:hideMark/>
          </w:tcPr>
          <w:p w14:paraId="44116B38"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Έτος</w:t>
            </w:r>
            <w:proofErr w:type="spellEnd"/>
          </w:p>
        </w:tc>
        <w:tc>
          <w:tcPr>
            <w:tcW w:w="2083" w:type="dxa"/>
            <w:tcBorders>
              <w:top w:val="nil"/>
              <w:left w:val="nil"/>
              <w:bottom w:val="nil"/>
              <w:right w:val="nil"/>
            </w:tcBorders>
            <w:shd w:val="clear" w:color="1E3A8A" w:fill="1E3A8A"/>
            <w:vAlign w:val="center"/>
            <w:hideMark/>
          </w:tcPr>
          <w:p w14:paraId="6B4B1B15"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Ελληνικές</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Εξ</w:t>
            </w:r>
            <w:proofErr w:type="spellEnd"/>
            <w:r w:rsidRPr="00A22FA3">
              <w:rPr>
                <w:rFonts w:ascii="Calibri" w:hAnsi="Calibri" w:cs="Calibri"/>
                <w:b/>
                <w:bCs/>
                <w:color w:val="FFFFFF"/>
                <w:sz w:val="20"/>
                <w:szCs w:val="20"/>
                <w:lang w:val="en-US" w:eastAsia="en-US"/>
              </w:rPr>
              <w:t>αγωγές (kg)</w:t>
            </w:r>
          </w:p>
        </w:tc>
        <w:tc>
          <w:tcPr>
            <w:tcW w:w="1583" w:type="dxa"/>
            <w:tcBorders>
              <w:top w:val="nil"/>
              <w:left w:val="nil"/>
              <w:bottom w:val="nil"/>
              <w:right w:val="nil"/>
            </w:tcBorders>
            <w:shd w:val="clear" w:color="1E3A8A" w:fill="1E3A8A"/>
            <w:vAlign w:val="center"/>
            <w:hideMark/>
          </w:tcPr>
          <w:p w14:paraId="3B5AE95E" w14:textId="77777777" w:rsidR="00A22FA3" w:rsidRPr="00A22FA3" w:rsidRDefault="00A22FA3" w:rsidP="00A22FA3">
            <w:pP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Ετήσι</w:t>
            </w:r>
            <w:proofErr w:type="spellEnd"/>
            <w:r w:rsidRPr="00A22FA3">
              <w:rPr>
                <w:rFonts w:ascii="Calibri" w:hAnsi="Calibri" w:cs="Calibri"/>
                <w:b/>
                <w:bCs/>
                <w:color w:val="FFFFFF"/>
                <w:sz w:val="20"/>
                <w:szCs w:val="20"/>
                <w:lang w:val="en-US" w:eastAsia="en-US"/>
              </w:rPr>
              <w:t xml:space="preserve">α </w:t>
            </w:r>
            <w:proofErr w:type="spellStart"/>
            <w:r w:rsidRPr="00A22FA3">
              <w:rPr>
                <w:rFonts w:ascii="Calibri" w:hAnsi="Calibri" w:cs="Calibri"/>
                <w:b/>
                <w:bCs/>
                <w:color w:val="FFFFFF"/>
                <w:sz w:val="20"/>
                <w:szCs w:val="20"/>
                <w:lang w:val="en-US" w:eastAsia="en-US"/>
              </w:rPr>
              <w:t>Μετ</w:t>
            </w:r>
            <w:proofErr w:type="spellEnd"/>
            <w:r w:rsidRPr="00A22FA3">
              <w:rPr>
                <w:rFonts w:ascii="Calibri" w:hAnsi="Calibri" w:cs="Calibri"/>
                <w:b/>
                <w:bCs/>
                <w:color w:val="FFFFFF"/>
                <w:sz w:val="20"/>
                <w:szCs w:val="20"/>
                <w:lang w:val="en-US" w:eastAsia="en-US"/>
              </w:rPr>
              <w:t>αβολή</w:t>
            </w:r>
          </w:p>
        </w:tc>
        <w:tc>
          <w:tcPr>
            <w:tcW w:w="2163" w:type="dxa"/>
            <w:tcBorders>
              <w:top w:val="nil"/>
              <w:left w:val="nil"/>
              <w:bottom w:val="nil"/>
              <w:right w:val="nil"/>
            </w:tcBorders>
            <w:shd w:val="clear" w:color="1E3A8A" w:fill="1E3A8A"/>
            <w:vAlign w:val="center"/>
            <w:hideMark/>
          </w:tcPr>
          <w:p w14:paraId="29B794FD"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Ελληνικές</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Εισ</w:t>
            </w:r>
            <w:proofErr w:type="spellEnd"/>
            <w:r w:rsidRPr="00A22FA3">
              <w:rPr>
                <w:rFonts w:ascii="Calibri" w:hAnsi="Calibri" w:cs="Calibri"/>
                <w:b/>
                <w:bCs/>
                <w:color w:val="FFFFFF"/>
                <w:sz w:val="20"/>
                <w:szCs w:val="20"/>
                <w:lang w:val="en-US" w:eastAsia="en-US"/>
              </w:rPr>
              <w:t>αγωγές (kg)</w:t>
            </w:r>
          </w:p>
        </w:tc>
        <w:tc>
          <w:tcPr>
            <w:tcW w:w="1582" w:type="dxa"/>
            <w:tcBorders>
              <w:top w:val="nil"/>
              <w:left w:val="nil"/>
              <w:bottom w:val="nil"/>
              <w:right w:val="nil"/>
            </w:tcBorders>
            <w:shd w:val="clear" w:color="1E3A8A" w:fill="1E3A8A"/>
            <w:vAlign w:val="center"/>
            <w:hideMark/>
          </w:tcPr>
          <w:p w14:paraId="02DB7F96"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Ετήσι</w:t>
            </w:r>
            <w:proofErr w:type="spellEnd"/>
            <w:r w:rsidRPr="00A22FA3">
              <w:rPr>
                <w:rFonts w:ascii="Calibri" w:hAnsi="Calibri" w:cs="Calibri"/>
                <w:b/>
                <w:bCs/>
                <w:color w:val="FFFFFF"/>
                <w:sz w:val="20"/>
                <w:szCs w:val="20"/>
                <w:lang w:val="en-US" w:eastAsia="en-US"/>
              </w:rPr>
              <w:t xml:space="preserve">α </w:t>
            </w:r>
            <w:proofErr w:type="spellStart"/>
            <w:r w:rsidRPr="00A22FA3">
              <w:rPr>
                <w:rFonts w:ascii="Calibri" w:hAnsi="Calibri" w:cs="Calibri"/>
                <w:b/>
                <w:bCs/>
                <w:color w:val="FFFFFF"/>
                <w:sz w:val="20"/>
                <w:szCs w:val="20"/>
                <w:lang w:val="en-US" w:eastAsia="en-US"/>
              </w:rPr>
              <w:t>Μετ</w:t>
            </w:r>
            <w:proofErr w:type="spellEnd"/>
            <w:r w:rsidRPr="00A22FA3">
              <w:rPr>
                <w:rFonts w:ascii="Calibri" w:hAnsi="Calibri" w:cs="Calibri"/>
                <w:b/>
                <w:bCs/>
                <w:color w:val="FFFFFF"/>
                <w:sz w:val="20"/>
                <w:szCs w:val="20"/>
                <w:lang w:val="en-US" w:eastAsia="en-US"/>
              </w:rPr>
              <w:t>αβολή</w:t>
            </w:r>
          </w:p>
        </w:tc>
      </w:tr>
      <w:tr w:rsidR="00A22FA3" w:rsidRPr="00A22FA3" w14:paraId="720C35D1" w14:textId="77777777" w:rsidTr="00A22FA3">
        <w:trPr>
          <w:trHeight w:val="414"/>
          <w:jc w:val="center"/>
        </w:trPr>
        <w:tc>
          <w:tcPr>
            <w:tcW w:w="1261" w:type="dxa"/>
            <w:tcBorders>
              <w:top w:val="single" w:sz="4" w:space="0" w:color="E2E8F0"/>
              <w:left w:val="single" w:sz="4" w:space="0" w:color="E2E8F0"/>
              <w:bottom w:val="single" w:sz="4" w:space="0" w:color="E2E8F0"/>
              <w:right w:val="single" w:sz="4" w:space="0" w:color="E2E8F0"/>
            </w:tcBorders>
            <w:shd w:val="clear" w:color="auto" w:fill="auto"/>
            <w:noWrap/>
            <w:vAlign w:val="center"/>
            <w:hideMark/>
          </w:tcPr>
          <w:p w14:paraId="3BAFCC8B"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2024</w:t>
            </w:r>
          </w:p>
        </w:tc>
        <w:tc>
          <w:tcPr>
            <w:tcW w:w="2083" w:type="dxa"/>
            <w:tcBorders>
              <w:top w:val="single" w:sz="4" w:space="0" w:color="E2E8F0"/>
              <w:left w:val="nil"/>
              <w:bottom w:val="single" w:sz="4" w:space="0" w:color="E2E8F0"/>
              <w:right w:val="single" w:sz="4" w:space="0" w:color="E2E8F0"/>
            </w:tcBorders>
            <w:shd w:val="clear" w:color="auto" w:fill="auto"/>
            <w:noWrap/>
            <w:vAlign w:val="center"/>
            <w:hideMark/>
          </w:tcPr>
          <w:p w14:paraId="6246D340"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19.290.210 kg</w:t>
            </w:r>
          </w:p>
        </w:tc>
        <w:tc>
          <w:tcPr>
            <w:tcW w:w="1583" w:type="dxa"/>
            <w:tcBorders>
              <w:top w:val="single" w:sz="4" w:space="0" w:color="E2E8F0"/>
              <w:left w:val="nil"/>
              <w:bottom w:val="single" w:sz="4" w:space="0" w:color="E2E8F0"/>
              <w:right w:val="single" w:sz="4" w:space="0" w:color="E2E8F0"/>
            </w:tcBorders>
            <w:shd w:val="clear" w:color="auto" w:fill="auto"/>
            <w:noWrap/>
            <w:vAlign w:val="center"/>
            <w:hideMark/>
          </w:tcPr>
          <w:p w14:paraId="52232786"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w:t>
            </w:r>
          </w:p>
        </w:tc>
        <w:tc>
          <w:tcPr>
            <w:tcW w:w="2163" w:type="dxa"/>
            <w:tcBorders>
              <w:top w:val="single" w:sz="4" w:space="0" w:color="E2E8F0"/>
              <w:left w:val="nil"/>
              <w:bottom w:val="single" w:sz="4" w:space="0" w:color="E2E8F0"/>
              <w:right w:val="single" w:sz="4" w:space="0" w:color="E2E8F0"/>
            </w:tcBorders>
            <w:shd w:val="clear" w:color="auto" w:fill="auto"/>
            <w:noWrap/>
            <w:vAlign w:val="center"/>
            <w:hideMark/>
          </w:tcPr>
          <w:p w14:paraId="29B02163"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4.398.230 kg</w:t>
            </w:r>
          </w:p>
        </w:tc>
        <w:tc>
          <w:tcPr>
            <w:tcW w:w="1582" w:type="dxa"/>
            <w:tcBorders>
              <w:top w:val="single" w:sz="4" w:space="0" w:color="E2E8F0"/>
              <w:left w:val="nil"/>
              <w:bottom w:val="single" w:sz="4" w:space="0" w:color="E2E8F0"/>
              <w:right w:val="single" w:sz="4" w:space="0" w:color="E2E8F0"/>
            </w:tcBorders>
            <w:shd w:val="clear" w:color="auto" w:fill="auto"/>
            <w:noWrap/>
            <w:vAlign w:val="center"/>
            <w:hideMark/>
          </w:tcPr>
          <w:p w14:paraId="64FDA768"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w:t>
            </w:r>
          </w:p>
        </w:tc>
      </w:tr>
      <w:tr w:rsidR="00A22FA3" w:rsidRPr="00A22FA3" w14:paraId="3A4B215C" w14:textId="77777777" w:rsidTr="00A22FA3">
        <w:trPr>
          <w:trHeight w:val="414"/>
          <w:jc w:val="center"/>
        </w:trPr>
        <w:tc>
          <w:tcPr>
            <w:tcW w:w="1261" w:type="dxa"/>
            <w:tcBorders>
              <w:top w:val="nil"/>
              <w:left w:val="single" w:sz="4" w:space="0" w:color="E2E8F0"/>
              <w:bottom w:val="single" w:sz="4" w:space="0" w:color="E2E8F0"/>
              <w:right w:val="single" w:sz="4" w:space="0" w:color="E2E8F0"/>
            </w:tcBorders>
            <w:shd w:val="clear" w:color="F8FAFC" w:fill="F8FAFC"/>
            <w:noWrap/>
            <w:vAlign w:val="center"/>
            <w:hideMark/>
          </w:tcPr>
          <w:p w14:paraId="5979887D"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2025</w:t>
            </w:r>
          </w:p>
        </w:tc>
        <w:tc>
          <w:tcPr>
            <w:tcW w:w="2083" w:type="dxa"/>
            <w:tcBorders>
              <w:top w:val="nil"/>
              <w:left w:val="nil"/>
              <w:bottom w:val="single" w:sz="4" w:space="0" w:color="E2E8F0"/>
              <w:right w:val="single" w:sz="4" w:space="0" w:color="E2E8F0"/>
            </w:tcBorders>
            <w:shd w:val="clear" w:color="F8FAFC" w:fill="F8FAFC"/>
            <w:noWrap/>
            <w:vAlign w:val="center"/>
            <w:hideMark/>
          </w:tcPr>
          <w:p w14:paraId="2675FD1A"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27.029.430 kg</w:t>
            </w:r>
          </w:p>
        </w:tc>
        <w:tc>
          <w:tcPr>
            <w:tcW w:w="1583" w:type="dxa"/>
            <w:tcBorders>
              <w:top w:val="nil"/>
              <w:left w:val="nil"/>
              <w:bottom w:val="single" w:sz="4" w:space="0" w:color="E2E8F0"/>
              <w:right w:val="single" w:sz="4" w:space="0" w:color="E2E8F0"/>
            </w:tcBorders>
            <w:shd w:val="clear" w:color="F8FAFC" w:fill="F8FAFC"/>
            <w:noWrap/>
            <w:vAlign w:val="center"/>
            <w:hideMark/>
          </w:tcPr>
          <w:p w14:paraId="177B922F"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+40,1%</w:t>
            </w:r>
          </w:p>
        </w:tc>
        <w:tc>
          <w:tcPr>
            <w:tcW w:w="2163" w:type="dxa"/>
            <w:tcBorders>
              <w:top w:val="nil"/>
              <w:left w:val="nil"/>
              <w:bottom w:val="single" w:sz="4" w:space="0" w:color="E2E8F0"/>
              <w:right w:val="single" w:sz="4" w:space="0" w:color="E2E8F0"/>
            </w:tcBorders>
            <w:shd w:val="clear" w:color="F8FAFC" w:fill="F8FAFC"/>
            <w:noWrap/>
            <w:vAlign w:val="center"/>
            <w:hideMark/>
          </w:tcPr>
          <w:p w14:paraId="7AA3D057"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1.232.725 kg</w:t>
            </w:r>
          </w:p>
        </w:tc>
        <w:tc>
          <w:tcPr>
            <w:tcW w:w="1582" w:type="dxa"/>
            <w:tcBorders>
              <w:top w:val="nil"/>
              <w:left w:val="nil"/>
              <w:bottom w:val="single" w:sz="4" w:space="0" w:color="E2E8F0"/>
              <w:right w:val="single" w:sz="4" w:space="0" w:color="E2E8F0"/>
            </w:tcBorders>
            <w:shd w:val="clear" w:color="F8FAFC" w:fill="F8FAFC"/>
            <w:noWrap/>
            <w:vAlign w:val="center"/>
            <w:hideMark/>
          </w:tcPr>
          <w:p w14:paraId="797C8D71"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FF0000"/>
                <w:sz w:val="20"/>
                <w:szCs w:val="20"/>
                <w:lang w:val="en-US" w:eastAsia="en-US"/>
              </w:rPr>
              <w:t>-72,0%</w:t>
            </w:r>
          </w:p>
        </w:tc>
      </w:tr>
      <w:tr w:rsidR="00A22FA3" w:rsidRPr="00A22FA3" w14:paraId="372D9BB2" w14:textId="77777777" w:rsidTr="00A22FA3">
        <w:trPr>
          <w:trHeight w:val="414"/>
          <w:jc w:val="center"/>
        </w:trPr>
        <w:tc>
          <w:tcPr>
            <w:tcW w:w="1261" w:type="dxa"/>
            <w:tcBorders>
              <w:top w:val="nil"/>
              <w:left w:val="single" w:sz="4" w:space="0" w:color="E2E8F0"/>
              <w:bottom w:val="double" w:sz="6" w:space="0" w:color="1E293B"/>
              <w:right w:val="single" w:sz="4" w:space="0" w:color="E2E8F0"/>
            </w:tcBorders>
            <w:shd w:val="clear" w:color="auto" w:fill="auto"/>
            <w:noWrap/>
            <w:vAlign w:val="center"/>
            <w:hideMark/>
          </w:tcPr>
          <w:p w14:paraId="6F4BA341"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2026</w:t>
            </w:r>
          </w:p>
        </w:tc>
        <w:tc>
          <w:tcPr>
            <w:tcW w:w="2083" w:type="dxa"/>
            <w:tcBorders>
              <w:top w:val="nil"/>
              <w:left w:val="nil"/>
              <w:bottom w:val="double" w:sz="6" w:space="0" w:color="1E293B"/>
              <w:right w:val="single" w:sz="4" w:space="0" w:color="E2E8F0"/>
            </w:tcBorders>
            <w:shd w:val="clear" w:color="auto" w:fill="auto"/>
            <w:noWrap/>
            <w:vAlign w:val="center"/>
            <w:hideMark/>
          </w:tcPr>
          <w:p w14:paraId="43C2F6D7"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32.823.927 kg</w:t>
            </w:r>
          </w:p>
        </w:tc>
        <w:tc>
          <w:tcPr>
            <w:tcW w:w="1583" w:type="dxa"/>
            <w:tcBorders>
              <w:top w:val="nil"/>
              <w:left w:val="nil"/>
              <w:bottom w:val="double" w:sz="6" w:space="0" w:color="1E293B"/>
              <w:right w:val="single" w:sz="4" w:space="0" w:color="E2E8F0"/>
            </w:tcBorders>
            <w:shd w:val="clear" w:color="auto" w:fill="auto"/>
            <w:noWrap/>
            <w:vAlign w:val="center"/>
            <w:hideMark/>
          </w:tcPr>
          <w:p w14:paraId="29846442"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+21,4%</w:t>
            </w:r>
          </w:p>
        </w:tc>
        <w:tc>
          <w:tcPr>
            <w:tcW w:w="2163" w:type="dxa"/>
            <w:tcBorders>
              <w:top w:val="nil"/>
              <w:left w:val="nil"/>
              <w:bottom w:val="double" w:sz="6" w:space="0" w:color="1E293B"/>
              <w:right w:val="single" w:sz="4" w:space="0" w:color="E2E8F0"/>
            </w:tcBorders>
            <w:shd w:val="clear" w:color="auto" w:fill="auto"/>
            <w:noWrap/>
            <w:vAlign w:val="center"/>
            <w:hideMark/>
          </w:tcPr>
          <w:p w14:paraId="5706FCC2"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1.132.330 kg</w:t>
            </w:r>
          </w:p>
        </w:tc>
        <w:tc>
          <w:tcPr>
            <w:tcW w:w="1582" w:type="dxa"/>
            <w:tcBorders>
              <w:top w:val="nil"/>
              <w:left w:val="nil"/>
              <w:bottom w:val="double" w:sz="6" w:space="0" w:color="1E293B"/>
              <w:right w:val="single" w:sz="4" w:space="0" w:color="E2E8F0"/>
            </w:tcBorders>
            <w:shd w:val="clear" w:color="auto" w:fill="auto"/>
            <w:noWrap/>
            <w:vAlign w:val="center"/>
            <w:hideMark/>
          </w:tcPr>
          <w:p w14:paraId="421B94F0"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FF0000"/>
                <w:sz w:val="20"/>
                <w:szCs w:val="20"/>
                <w:lang w:val="en-US" w:eastAsia="en-US"/>
              </w:rPr>
              <w:t>-8,1%</w:t>
            </w:r>
          </w:p>
        </w:tc>
      </w:tr>
    </w:tbl>
    <w:p w14:paraId="293D5943" w14:textId="2FA351F6" w:rsidR="00A22FA3" w:rsidRDefault="00A22FA3" w:rsidP="00BA4C70">
      <w:pPr>
        <w:spacing w:after="240" w:line="276" w:lineRule="auto"/>
        <w:jc w:val="both"/>
        <w:rPr>
          <w:rFonts w:asciiTheme="minorHAnsi" w:hAnsiTheme="minorHAnsi" w:cstheme="minorHAnsi"/>
          <w:sz w:val="22"/>
          <w:szCs w:val="22"/>
        </w:rPr>
      </w:pPr>
    </w:p>
    <w:p w14:paraId="278C1872" w14:textId="5C2248AE" w:rsidR="00FD3F7C" w:rsidRDefault="00FD3F7C"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Η εξέλιξη του συναλλαγών σε όρους ποσότητας ήταν</w:t>
      </w:r>
      <w:r w:rsidR="00EF1E3C">
        <w:rPr>
          <w:rFonts w:asciiTheme="minorHAnsi" w:hAnsiTheme="minorHAnsi" w:cstheme="minorHAnsi"/>
          <w:sz w:val="22"/>
          <w:szCs w:val="22"/>
        </w:rPr>
        <w:t>,</w:t>
      </w:r>
      <w:r>
        <w:rPr>
          <w:rFonts w:asciiTheme="minorHAnsi" w:hAnsiTheme="minorHAnsi" w:cstheme="minorHAnsi"/>
          <w:sz w:val="22"/>
          <w:szCs w:val="22"/>
        </w:rPr>
        <w:t xml:space="preserve"> επίσης</w:t>
      </w:r>
      <w:r w:rsidR="00EF1E3C">
        <w:rPr>
          <w:rFonts w:asciiTheme="minorHAnsi" w:hAnsiTheme="minorHAnsi" w:cstheme="minorHAnsi"/>
          <w:sz w:val="22"/>
          <w:szCs w:val="22"/>
        </w:rPr>
        <w:t>,</w:t>
      </w:r>
      <w:r>
        <w:rPr>
          <w:rFonts w:asciiTheme="minorHAnsi" w:hAnsiTheme="minorHAnsi" w:cstheme="minorHAnsi"/>
          <w:sz w:val="22"/>
          <w:szCs w:val="22"/>
        </w:rPr>
        <w:t xml:space="preserve"> θετική. Οι ελληνικές εξαγωγές, στην περίοδο Ιανουαρίου – Αυγούστου, αυξήθηκαν κατά 21,4% το 2026 έναντι του 2025, οπότε είχαν αυξηθεί κατά 40,1% έναντι του 2024. Σε απόλυτους </w:t>
      </w:r>
      <w:proofErr w:type="spellStart"/>
      <w:r>
        <w:rPr>
          <w:rFonts w:asciiTheme="minorHAnsi" w:hAnsiTheme="minorHAnsi" w:cstheme="minorHAnsi"/>
          <w:sz w:val="22"/>
          <w:szCs w:val="22"/>
        </w:rPr>
        <w:t>αρθιμούς</w:t>
      </w:r>
      <w:proofErr w:type="spellEnd"/>
      <w:r>
        <w:rPr>
          <w:rFonts w:asciiTheme="minorHAnsi" w:hAnsiTheme="minorHAnsi" w:cstheme="minorHAnsi"/>
          <w:sz w:val="22"/>
          <w:szCs w:val="22"/>
        </w:rPr>
        <w:t xml:space="preserve"> η ποσότητα ανήλθε σε 32 εκ. κιλά, 27 εκ. κιλά και 19 εκ. κιλά, αντιστοίχως τα έτη 2026, 2025 και 2024.</w:t>
      </w:r>
    </w:p>
    <w:p w14:paraId="620AEF28" w14:textId="744E04B8" w:rsidR="00FD3F7C" w:rsidRDefault="00EF1E3C"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Οι εξαγωγές των ΗΠΑ σε κιλά σημείωσαν πτωτική πορεία κατά 8,1% το 2026 έναντι του 2025, οπότε η πτώση έναντι του 2024 ήταν 72%. Η ποσότητα ήταν 1,1, 1,2 και 4,4 εκ. κιλά αντιστοίχως για τα έτη 2026-25-24.</w:t>
      </w:r>
    </w:p>
    <w:p w14:paraId="09C51A15" w14:textId="77777777" w:rsidR="00651667" w:rsidRDefault="00651667">
      <w:r>
        <w:br w:type="page"/>
      </w:r>
    </w:p>
    <w:tbl>
      <w:tblPr>
        <w:tblW w:w="8660" w:type="dxa"/>
        <w:jc w:val="center"/>
        <w:tblLook w:val="04A0" w:firstRow="1" w:lastRow="0" w:firstColumn="1" w:lastColumn="0" w:noHBand="0" w:noVBand="1"/>
      </w:tblPr>
      <w:tblGrid>
        <w:gridCol w:w="1260"/>
        <w:gridCol w:w="2080"/>
        <w:gridCol w:w="1580"/>
        <w:gridCol w:w="2160"/>
        <w:gridCol w:w="1580"/>
      </w:tblGrid>
      <w:tr w:rsidR="00A22FA3" w:rsidRPr="00A22FA3" w14:paraId="3FFDAD8A" w14:textId="77777777" w:rsidTr="00A22FA3">
        <w:trPr>
          <w:trHeight w:val="402"/>
          <w:jc w:val="center"/>
        </w:trPr>
        <w:tc>
          <w:tcPr>
            <w:tcW w:w="3340" w:type="dxa"/>
            <w:gridSpan w:val="2"/>
            <w:tcBorders>
              <w:top w:val="nil"/>
              <w:left w:val="nil"/>
              <w:bottom w:val="nil"/>
              <w:right w:val="nil"/>
            </w:tcBorders>
            <w:shd w:val="clear" w:color="auto" w:fill="auto"/>
            <w:noWrap/>
            <w:vAlign w:val="bottom"/>
            <w:hideMark/>
          </w:tcPr>
          <w:p w14:paraId="293861F9" w14:textId="127E13AA" w:rsidR="00A22FA3" w:rsidRPr="00A22FA3" w:rsidRDefault="00A22FA3" w:rsidP="00A22FA3">
            <w:pPr>
              <w:rPr>
                <w:rFonts w:ascii="Calibri" w:hAnsi="Calibri" w:cs="Calibri"/>
                <w:b/>
                <w:bCs/>
                <w:color w:val="1E3A8A"/>
                <w:sz w:val="22"/>
                <w:szCs w:val="22"/>
                <w:lang w:val="en-US" w:eastAsia="en-US"/>
              </w:rPr>
            </w:pPr>
            <w:r w:rsidRPr="00A22FA3">
              <w:rPr>
                <w:rFonts w:ascii="Calibri" w:hAnsi="Calibri" w:cs="Calibri"/>
                <w:b/>
                <w:bCs/>
                <w:color w:val="1E3A8A"/>
                <w:sz w:val="22"/>
                <w:szCs w:val="22"/>
                <w:lang w:val="en-US" w:eastAsia="en-US"/>
              </w:rPr>
              <w:lastRenderedPageBreak/>
              <w:t xml:space="preserve">3. </w:t>
            </w:r>
            <w:proofErr w:type="spellStart"/>
            <w:r w:rsidRPr="00A22FA3">
              <w:rPr>
                <w:rFonts w:ascii="Calibri" w:hAnsi="Calibri" w:cs="Calibri"/>
                <w:b/>
                <w:bCs/>
                <w:color w:val="1E3A8A"/>
                <w:sz w:val="22"/>
                <w:szCs w:val="22"/>
                <w:lang w:val="en-US" w:eastAsia="en-US"/>
              </w:rPr>
              <w:t>Μέση</w:t>
            </w:r>
            <w:proofErr w:type="spellEnd"/>
            <w:r w:rsidRPr="00A22FA3">
              <w:rPr>
                <w:rFonts w:ascii="Calibri" w:hAnsi="Calibri" w:cs="Calibri"/>
                <w:b/>
                <w:bCs/>
                <w:color w:val="1E3A8A"/>
                <w:sz w:val="22"/>
                <w:szCs w:val="22"/>
                <w:lang w:val="en-US" w:eastAsia="en-US"/>
              </w:rPr>
              <w:t xml:space="preserve"> </w:t>
            </w:r>
            <w:proofErr w:type="spellStart"/>
            <w:r w:rsidRPr="00A22FA3">
              <w:rPr>
                <w:rFonts w:ascii="Calibri" w:hAnsi="Calibri" w:cs="Calibri"/>
                <w:b/>
                <w:bCs/>
                <w:color w:val="1E3A8A"/>
                <w:sz w:val="22"/>
                <w:szCs w:val="22"/>
                <w:lang w:val="en-US" w:eastAsia="en-US"/>
              </w:rPr>
              <w:t>Τιμή</w:t>
            </w:r>
            <w:proofErr w:type="spellEnd"/>
            <w:r w:rsidRPr="00A22FA3">
              <w:rPr>
                <w:rFonts w:ascii="Calibri" w:hAnsi="Calibri" w:cs="Calibri"/>
                <w:b/>
                <w:bCs/>
                <w:color w:val="1E3A8A"/>
                <w:sz w:val="22"/>
                <w:szCs w:val="22"/>
                <w:lang w:val="en-US" w:eastAsia="en-US"/>
              </w:rPr>
              <w:t xml:space="preserve"> </w:t>
            </w:r>
            <w:proofErr w:type="spellStart"/>
            <w:r w:rsidRPr="00A22FA3">
              <w:rPr>
                <w:rFonts w:ascii="Calibri" w:hAnsi="Calibri" w:cs="Calibri"/>
                <w:b/>
                <w:bCs/>
                <w:color w:val="1E3A8A"/>
                <w:sz w:val="22"/>
                <w:szCs w:val="22"/>
                <w:lang w:val="en-US" w:eastAsia="en-US"/>
              </w:rPr>
              <w:t>Μονάδ</w:t>
            </w:r>
            <w:proofErr w:type="spellEnd"/>
            <w:r w:rsidRPr="00A22FA3">
              <w:rPr>
                <w:rFonts w:ascii="Calibri" w:hAnsi="Calibri" w:cs="Calibri"/>
                <w:b/>
                <w:bCs/>
                <w:color w:val="1E3A8A"/>
                <w:sz w:val="22"/>
                <w:szCs w:val="22"/>
                <w:lang w:val="en-US" w:eastAsia="en-US"/>
              </w:rPr>
              <w:t>ας (€ / kg)</w:t>
            </w:r>
          </w:p>
        </w:tc>
        <w:tc>
          <w:tcPr>
            <w:tcW w:w="1580" w:type="dxa"/>
            <w:tcBorders>
              <w:top w:val="nil"/>
              <w:left w:val="nil"/>
              <w:bottom w:val="nil"/>
              <w:right w:val="nil"/>
            </w:tcBorders>
            <w:shd w:val="clear" w:color="auto" w:fill="auto"/>
            <w:noWrap/>
            <w:vAlign w:val="bottom"/>
            <w:hideMark/>
          </w:tcPr>
          <w:p w14:paraId="731354B6" w14:textId="77777777" w:rsidR="00A22FA3" w:rsidRPr="00A22FA3" w:rsidRDefault="00A22FA3" w:rsidP="00A22FA3">
            <w:pPr>
              <w:rPr>
                <w:rFonts w:ascii="Calibri" w:hAnsi="Calibri" w:cs="Calibri"/>
                <w:b/>
                <w:bCs/>
                <w:color w:val="1E3A8A"/>
                <w:sz w:val="22"/>
                <w:szCs w:val="22"/>
                <w:lang w:val="en-US" w:eastAsia="en-US"/>
              </w:rPr>
            </w:pPr>
          </w:p>
        </w:tc>
        <w:tc>
          <w:tcPr>
            <w:tcW w:w="2160" w:type="dxa"/>
            <w:tcBorders>
              <w:top w:val="nil"/>
              <w:left w:val="nil"/>
              <w:bottom w:val="nil"/>
              <w:right w:val="nil"/>
            </w:tcBorders>
            <w:shd w:val="clear" w:color="auto" w:fill="auto"/>
            <w:noWrap/>
            <w:vAlign w:val="bottom"/>
            <w:hideMark/>
          </w:tcPr>
          <w:p w14:paraId="47A5C05B" w14:textId="77777777" w:rsidR="00A22FA3" w:rsidRPr="00A22FA3" w:rsidRDefault="00A22FA3" w:rsidP="00A22FA3">
            <w:pPr>
              <w:rPr>
                <w:sz w:val="20"/>
                <w:szCs w:val="20"/>
                <w:lang w:val="en-US" w:eastAsia="en-US"/>
              </w:rPr>
            </w:pPr>
          </w:p>
        </w:tc>
        <w:tc>
          <w:tcPr>
            <w:tcW w:w="1580" w:type="dxa"/>
            <w:tcBorders>
              <w:top w:val="nil"/>
              <w:left w:val="nil"/>
              <w:bottom w:val="nil"/>
              <w:right w:val="nil"/>
            </w:tcBorders>
            <w:shd w:val="clear" w:color="auto" w:fill="auto"/>
            <w:noWrap/>
            <w:vAlign w:val="bottom"/>
            <w:hideMark/>
          </w:tcPr>
          <w:p w14:paraId="3CD12ED0" w14:textId="77777777" w:rsidR="00A22FA3" w:rsidRPr="00A22FA3" w:rsidRDefault="00A22FA3" w:rsidP="00A22FA3">
            <w:pPr>
              <w:rPr>
                <w:sz w:val="20"/>
                <w:szCs w:val="20"/>
                <w:lang w:val="en-US" w:eastAsia="en-US"/>
              </w:rPr>
            </w:pPr>
          </w:p>
        </w:tc>
      </w:tr>
      <w:tr w:rsidR="00A22FA3" w:rsidRPr="00A22FA3" w14:paraId="430943FA" w14:textId="77777777" w:rsidTr="00A22FA3">
        <w:trPr>
          <w:trHeight w:val="559"/>
          <w:jc w:val="center"/>
        </w:trPr>
        <w:tc>
          <w:tcPr>
            <w:tcW w:w="1260" w:type="dxa"/>
            <w:tcBorders>
              <w:top w:val="nil"/>
              <w:left w:val="nil"/>
              <w:bottom w:val="nil"/>
              <w:right w:val="nil"/>
            </w:tcBorders>
            <w:shd w:val="clear" w:color="1E3A8A" w:fill="1E3A8A"/>
            <w:vAlign w:val="center"/>
            <w:hideMark/>
          </w:tcPr>
          <w:p w14:paraId="01F76805"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Έτος</w:t>
            </w:r>
            <w:proofErr w:type="spellEnd"/>
          </w:p>
        </w:tc>
        <w:tc>
          <w:tcPr>
            <w:tcW w:w="2080" w:type="dxa"/>
            <w:tcBorders>
              <w:top w:val="nil"/>
              <w:left w:val="nil"/>
              <w:bottom w:val="nil"/>
              <w:right w:val="nil"/>
            </w:tcBorders>
            <w:shd w:val="clear" w:color="1E3A8A" w:fill="1E3A8A"/>
            <w:vAlign w:val="center"/>
            <w:hideMark/>
          </w:tcPr>
          <w:p w14:paraId="0B5E35FA"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Μέση</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Τιμή</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Εξ</w:t>
            </w:r>
            <w:proofErr w:type="spellEnd"/>
            <w:r w:rsidRPr="00A22FA3">
              <w:rPr>
                <w:rFonts w:ascii="Calibri" w:hAnsi="Calibri" w:cs="Calibri"/>
                <w:b/>
                <w:bCs/>
                <w:color w:val="FFFFFF"/>
                <w:sz w:val="20"/>
                <w:szCs w:val="20"/>
                <w:lang w:val="en-US" w:eastAsia="en-US"/>
              </w:rPr>
              <w:t>αγωγών</w:t>
            </w:r>
          </w:p>
        </w:tc>
        <w:tc>
          <w:tcPr>
            <w:tcW w:w="1580" w:type="dxa"/>
            <w:tcBorders>
              <w:top w:val="nil"/>
              <w:left w:val="nil"/>
              <w:bottom w:val="nil"/>
              <w:right w:val="nil"/>
            </w:tcBorders>
            <w:shd w:val="clear" w:color="1E3A8A" w:fill="1E3A8A"/>
            <w:vAlign w:val="center"/>
            <w:hideMark/>
          </w:tcPr>
          <w:p w14:paraId="3849671A"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Ετήσι</w:t>
            </w:r>
            <w:proofErr w:type="spellEnd"/>
            <w:r w:rsidRPr="00A22FA3">
              <w:rPr>
                <w:rFonts w:ascii="Calibri" w:hAnsi="Calibri" w:cs="Calibri"/>
                <w:b/>
                <w:bCs/>
                <w:color w:val="FFFFFF"/>
                <w:sz w:val="20"/>
                <w:szCs w:val="20"/>
                <w:lang w:val="en-US" w:eastAsia="en-US"/>
              </w:rPr>
              <w:t xml:space="preserve">α </w:t>
            </w:r>
            <w:proofErr w:type="spellStart"/>
            <w:r w:rsidRPr="00A22FA3">
              <w:rPr>
                <w:rFonts w:ascii="Calibri" w:hAnsi="Calibri" w:cs="Calibri"/>
                <w:b/>
                <w:bCs/>
                <w:color w:val="FFFFFF"/>
                <w:sz w:val="20"/>
                <w:szCs w:val="20"/>
                <w:lang w:val="en-US" w:eastAsia="en-US"/>
              </w:rPr>
              <w:t>Μετ</w:t>
            </w:r>
            <w:proofErr w:type="spellEnd"/>
            <w:r w:rsidRPr="00A22FA3">
              <w:rPr>
                <w:rFonts w:ascii="Calibri" w:hAnsi="Calibri" w:cs="Calibri"/>
                <w:b/>
                <w:bCs/>
                <w:color w:val="FFFFFF"/>
                <w:sz w:val="20"/>
                <w:szCs w:val="20"/>
                <w:lang w:val="en-US" w:eastAsia="en-US"/>
              </w:rPr>
              <w:t>αβολή</w:t>
            </w:r>
          </w:p>
        </w:tc>
        <w:tc>
          <w:tcPr>
            <w:tcW w:w="2160" w:type="dxa"/>
            <w:tcBorders>
              <w:top w:val="nil"/>
              <w:left w:val="nil"/>
              <w:bottom w:val="nil"/>
              <w:right w:val="nil"/>
            </w:tcBorders>
            <w:shd w:val="clear" w:color="1E3A8A" w:fill="1E3A8A"/>
            <w:vAlign w:val="center"/>
            <w:hideMark/>
          </w:tcPr>
          <w:p w14:paraId="73053284"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Μέση</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Τιμή</w:t>
            </w:r>
            <w:proofErr w:type="spellEnd"/>
            <w:r w:rsidRPr="00A22FA3">
              <w:rPr>
                <w:rFonts w:ascii="Calibri" w:hAnsi="Calibri" w:cs="Calibri"/>
                <w:b/>
                <w:bCs/>
                <w:color w:val="FFFFFF"/>
                <w:sz w:val="20"/>
                <w:szCs w:val="20"/>
                <w:lang w:val="en-US" w:eastAsia="en-US"/>
              </w:rPr>
              <w:t xml:space="preserve"> </w:t>
            </w:r>
            <w:proofErr w:type="spellStart"/>
            <w:r w:rsidRPr="00A22FA3">
              <w:rPr>
                <w:rFonts w:ascii="Calibri" w:hAnsi="Calibri" w:cs="Calibri"/>
                <w:b/>
                <w:bCs/>
                <w:color w:val="FFFFFF"/>
                <w:sz w:val="20"/>
                <w:szCs w:val="20"/>
                <w:lang w:val="en-US" w:eastAsia="en-US"/>
              </w:rPr>
              <w:t>Εισ</w:t>
            </w:r>
            <w:proofErr w:type="spellEnd"/>
            <w:r w:rsidRPr="00A22FA3">
              <w:rPr>
                <w:rFonts w:ascii="Calibri" w:hAnsi="Calibri" w:cs="Calibri"/>
                <w:b/>
                <w:bCs/>
                <w:color w:val="FFFFFF"/>
                <w:sz w:val="20"/>
                <w:szCs w:val="20"/>
                <w:lang w:val="en-US" w:eastAsia="en-US"/>
              </w:rPr>
              <w:t>αγωγών</w:t>
            </w:r>
          </w:p>
        </w:tc>
        <w:tc>
          <w:tcPr>
            <w:tcW w:w="1580" w:type="dxa"/>
            <w:tcBorders>
              <w:top w:val="nil"/>
              <w:left w:val="nil"/>
              <w:bottom w:val="nil"/>
              <w:right w:val="nil"/>
            </w:tcBorders>
            <w:shd w:val="clear" w:color="1E3A8A" w:fill="1E3A8A"/>
            <w:vAlign w:val="center"/>
            <w:hideMark/>
          </w:tcPr>
          <w:p w14:paraId="296FD9F5" w14:textId="77777777" w:rsidR="00A22FA3" w:rsidRPr="00A22FA3" w:rsidRDefault="00A22FA3" w:rsidP="00A22FA3">
            <w:pPr>
              <w:jc w:val="center"/>
              <w:rPr>
                <w:rFonts w:ascii="Calibri" w:hAnsi="Calibri" w:cs="Calibri"/>
                <w:b/>
                <w:bCs/>
                <w:color w:val="FFFFFF"/>
                <w:sz w:val="20"/>
                <w:szCs w:val="20"/>
                <w:lang w:val="en-US" w:eastAsia="en-US"/>
              </w:rPr>
            </w:pPr>
            <w:proofErr w:type="spellStart"/>
            <w:r w:rsidRPr="00A22FA3">
              <w:rPr>
                <w:rFonts w:ascii="Calibri" w:hAnsi="Calibri" w:cs="Calibri"/>
                <w:b/>
                <w:bCs/>
                <w:color w:val="FFFFFF"/>
                <w:sz w:val="20"/>
                <w:szCs w:val="20"/>
                <w:lang w:val="en-US" w:eastAsia="en-US"/>
              </w:rPr>
              <w:t>Ετήσι</w:t>
            </w:r>
            <w:proofErr w:type="spellEnd"/>
            <w:r w:rsidRPr="00A22FA3">
              <w:rPr>
                <w:rFonts w:ascii="Calibri" w:hAnsi="Calibri" w:cs="Calibri"/>
                <w:b/>
                <w:bCs/>
                <w:color w:val="FFFFFF"/>
                <w:sz w:val="20"/>
                <w:szCs w:val="20"/>
                <w:lang w:val="en-US" w:eastAsia="en-US"/>
              </w:rPr>
              <w:t xml:space="preserve">α </w:t>
            </w:r>
            <w:proofErr w:type="spellStart"/>
            <w:r w:rsidRPr="00A22FA3">
              <w:rPr>
                <w:rFonts w:ascii="Calibri" w:hAnsi="Calibri" w:cs="Calibri"/>
                <w:b/>
                <w:bCs/>
                <w:color w:val="FFFFFF"/>
                <w:sz w:val="20"/>
                <w:szCs w:val="20"/>
                <w:lang w:val="en-US" w:eastAsia="en-US"/>
              </w:rPr>
              <w:t>Μετ</w:t>
            </w:r>
            <w:proofErr w:type="spellEnd"/>
            <w:r w:rsidRPr="00A22FA3">
              <w:rPr>
                <w:rFonts w:ascii="Calibri" w:hAnsi="Calibri" w:cs="Calibri"/>
                <w:b/>
                <w:bCs/>
                <w:color w:val="FFFFFF"/>
                <w:sz w:val="20"/>
                <w:szCs w:val="20"/>
                <w:lang w:val="en-US" w:eastAsia="en-US"/>
              </w:rPr>
              <w:t>αβολή</w:t>
            </w:r>
          </w:p>
        </w:tc>
      </w:tr>
      <w:tr w:rsidR="00A22FA3" w:rsidRPr="00A22FA3" w14:paraId="13123487" w14:textId="77777777" w:rsidTr="00A22FA3">
        <w:trPr>
          <w:trHeight w:val="402"/>
          <w:jc w:val="center"/>
        </w:trPr>
        <w:tc>
          <w:tcPr>
            <w:tcW w:w="1260" w:type="dxa"/>
            <w:tcBorders>
              <w:top w:val="single" w:sz="4" w:space="0" w:color="E2E8F0"/>
              <w:left w:val="single" w:sz="4" w:space="0" w:color="E2E8F0"/>
              <w:bottom w:val="single" w:sz="4" w:space="0" w:color="E2E8F0"/>
              <w:right w:val="single" w:sz="4" w:space="0" w:color="E2E8F0"/>
            </w:tcBorders>
            <w:shd w:val="clear" w:color="auto" w:fill="auto"/>
            <w:noWrap/>
            <w:vAlign w:val="center"/>
            <w:hideMark/>
          </w:tcPr>
          <w:p w14:paraId="55819B98"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2024</w:t>
            </w:r>
          </w:p>
        </w:tc>
        <w:tc>
          <w:tcPr>
            <w:tcW w:w="2080" w:type="dxa"/>
            <w:tcBorders>
              <w:top w:val="single" w:sz="4" w:space="0" w:color="E2E8F0"/>
              <w:left w:val="nil"/>
              <w:bottom w:val="single" w:sz="4" w:space="0" w:color="E2E8F0"/>
              <w:right w:val="single" w:sz="4" w:space="0" w:color="E2E8F0"/>
            </w:tcBorders>
            <w:shd w:val="clear" w:color="auto" w:fill="auto"/>
            <w:noWrap/>
            <w:vAlign w:val="center"/>
            <w:hideMark/>
          </w:tcPr>
          <w:p w14:paraId="683B04E3"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4,50 €/kg</w:t>
            </w:r>
          </w:p>
        </w:tc>
        <w:tc>
          <w:tcPr>
            <w:tcW w:w="1580" w:type="dxa"/>
            <w:tcBorders>
              <w:top w:val="single" w:sz="4" w:space="0" w:color="E2E8F0"/>
              <w:left w:val="nil"/>
              <w:bottom w:val="single" w:sz="4" w:space="0" w:color="E2E8F0"/>
              <w:right w:val="single" w:sz="4" w:space="0" w:color="E2E8F0"/>
            </w:tcBorders>
            <w:shd w:val="clear" w:color="auto" w:fill="auto"/>
            <w:noWrap/>
            <w:vAlign w:val="center"/>
            <w:hideMark/>
          </w:tcPr>
          <w:p w14:paraId="3B375D2B"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w:t>
            </w:r>
          </w:p>
        </w:tc>
        <w:tc>
          <w:tcPr>
            <w:tcW w:w="2160" w:type="dxa"/>
            <w:tcBorders>
              <w:top w:val="single" w:sz="4" w:space="0" w:color="E2E8F0"/>
              <w:left w:val="nil"/>
              <w:bottom w:val="single" w:sz="4" w:space="0" w:color="E2E8F0"/>
              <w:right w:val="single" w:sz="4" w:space="0" w:color="E2E8F0"/>
            </w:tcBorders>
            <w:shd w:val="clear" w:color="auto" w:fill="auto"/>
            <w:noWrap/>
            <w:vAlign w:val="center"/>
            <w:hideMark/>
          </w:tcPr>
          <w:p w14:paraId="55FE1941"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2,71 €/kg</w:t>
            </w:r>
          </w:p>
        </w:tc>
        <w:tc>
          <w:tcPr>
            <w:tcW w:w="1580" w:type="dxa"/>
            <w:tcBorders>
              <w:top w:val="single" w:sz="4" w:space="0" w:color="E2E8F0"/>
              <w:left w:val="nil"/>
              <w:bottom w:val="single" w:sz="4" w:space="0" w:color="E2E8F0"/>
              <w:right w:val="single" w:sz="4" w:space="0" w:color="E2E8F0"/>
            </w:tcBorders>
            <w:shd w:val="clear" w:color="auto" w:fill="auto"/>
            <w:noWrap/>
            <w:vAlign w:val="center"/>
            <w:hideMark/>
          </w:tcPr>
          <w:p w14:paraId="101BBC44"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w:t>
            </w:r>
          </w:p>
        </w:tc>
      </w:tr>
      <w:tr w:rsidR="00A22FA3" w:rsidRPr="00A22FA3" w14:paraId="6258A5B2" w14:textId="77777777" w:rsidTr="00A22FA3">
        <w:trPr>
          <w:trHeight w:val="402"/>
          <w:jc w:val="center"/>
        </w:trPr>
        <w:tc>
          <w:tcPr>
            <w:tcW w:w="1260" w:type="dxa"/>
            <w:tcBorders>
              <w:top w:val="nil"/>
              <w:left w:val="single" w:sz="4" w:space="0" w:color="E2E8F0"/>
              <w:bottom w:val="single" w:sz="4" w:space="0" w:color="E2E8F0"/>
              <w:right w:val="single" w:sz="4" w:space="0" w:color="E2E8F0"/>
            </w:tcBorders>
            <w:shd w:val="clear" w:color="F8FAFC" w:fill="F8FAFC"/>
            <w:noWrap/>
            <w:vAlign w:val="center"/>
            <w:hideMark/>
          </w:tcPr>
          <w:p w14:paraId="3C75DEE2"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2025</w:t>
            </w:r>
          </w:p>
        </w:tc>
        <w:tc>
          <w:tcPr>
            <w:tcW w:w="2080" w:type="dxa"/>
            <w:tcBorders>
              <w:top w:val="nil"/>
              <w:left w:val="nil"/>
              <w:bottom w:val="single" w:sz="4" w:space="0" w:color="E2E8F0"/>
              <w:right w:val="single" w:sz="4" w:space="0" w:color="E2E8F0"/>
            </w:tcBorders>
            <w:shd w:val="clear" w:color="F8FAFC" w:fill="F8FAFC"/>
            <w:noWrap/>
            <w:vAlign w:val="center"/>
            <w:hideMark/>
          </w:tcPr>
          <w:p w14:paraId="10F454A7"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4,59 €/kg</w:t>
            </w:r>
          </w:p>
        </w:tc>
        <w:tc>
          <w:tcPr>
            <w:tcW w:w="1580" w:type="dxa"/>
            <w:tcBorders>
              <w:top w:val="nil"/>
              <w:left w:val="nil"/>
              <w:bottom w:val="single" w:sz="4" w:space="0" w:color="E2E8F0"/>
              <w:right w:val="single" w:sz="4" w:space="0" w:color="E2E8F0"/>
            </w:tcBorders>
            <w:shd w:val="clear" w:color="F8FAFC" w:fill="F8FAFC"/>
            <w:noWrap/>
            <w:vAlign w:val="center"/>
            <w:hideMark/>
          </w:tcPr>
          <w:p w14:paraId="08604843"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+1,9%</w:t>
            </w:r>
          </w:p>
        </w:tc>
        <w:tc>
          <w:tcPr>
            <w:tcW w:w="2160" w:type="dxa"/>
            <w:tcBorders>
              <w:top w:val="nil"/>
              <w:left w:val="nil"/>
              <w:bottom w:val="single" w:sz="4" w:space="0" w:color="E2E8F0"/>
              <w:right w:val="single" w:sz="4" w:space="0" w:color="E2E8F0"/>
            </w:tcBorders>
            <w:shd w:val="clear" w:color="F8FAFC" w:fill="F8FAFC"/>
            <w:noWrap/>
            <w:vAlign w:val="center"/>
            <w:hideMark/>
          </w:tcPr>
          <w:p w14:paraId="70C0F1A7"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3,44 €/kg</w:t>
            </w:r>
          </w:p>
        </w:tc>
        <w:tc>
          <w:tcPr>
            <w:tcW w:w="1580" w:type="dxa"/>
            <w:tcBorders>
              <w:top w:val="nil"/>
              <w:left w:val="nil"/>
              <w:bottom w:val="single" w:sz="4" w:space="0" w:color="E2E8F0"/>
              <w:right w:val="single" w:sz="4" w:space="0" w:color="E2E8F0"/>
            </w:tcBorders>
            <w:shd w:val="clear" w:color="F8FAFC" w:fill="F8FAFC"/>
            <w:noWrap/>
            <w:vAlign w:val="center"/>
            <w:hideMark/>
          </w:tcPr>
          <w:p w14:paraId="3503802A"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+27,3%</w:t>
            </w:r>
          </w:p>
        </w:tc>
      </w:tr>
      <w:tr w:rsidR="00A22FA3" w:rsidRPr="00A22FA3" w14:paraId="5A8EC920" w14:textId="77777777" w:rsidTr="00A22FA3">
        <w:trPr>
          <w:trHeight w:val="402"/>
          <w:jc w:val="center"/>
        </w:trPr>
        <w:tc>
          <w:tcPr>
            <w:tcW w:w="1260" w:type="dxa"/>
            <w:tcBorders>
              <w:top w:val="nil"/>
              <w:left w:val="single" w:sz="4" w:space="0" w:color="E2E8F0"/>
              <w:bottom w:val="double" w:sz="6" w:space="0" w:color="1E293B"/>
              <w:right w:val="single" w:sz="4" w:space="0" w:color="E2E8F0"/>
            </w:tcBorders>
            <w:shd w:val="clear" w:color="auto" w:fill="auto"/>
            <w:noWrap/>
            <w:vAlign w:val="center"/>
            <w:hideMark/>
          </w:tcPr>
          <w:p w14:paraId="7DD980B7" w14:textId="77777777" w:rsidR="00A22FA3" w:rsidRPr="00A22FA3" w:rsidRDefault="00A22FA3" w:rsidP="00A22FA3">
            <w:pPr>
              <w:jc w:val="center"/>
              <w:rPr>
                <w:rFonts w:ascii="Calibri" w:hAnsi="Calibri" w:cs="Calibri"/>
                <w:b/>
                <w:bCs/>
                <w:color w:val="334155"/>
                <w:sz w:val="20"/>
                <w:szCs w:val="20"/>
                <w:lang w:val="en-US" w:eastAsia="en-US"/>
              </w:rPr>
            </w:pPr>
            <w:r w:rsidRPr="00A22FA3">
              <w:rPr>
                <w:rFonts w:ascii="Calibri" w:hAnsi="Calibri" w:cs="Calibri"/>
                <w:b/>
                <w:bCs/>
                <w:color w:val="334155"/>
                <w:sz w:val="20"/>
                <w:szCs w:val="20"/>
                <w:lang w:val="en-US" w:eastAsia="en-US"/>
              </w:rPr>
              <w:t>2026</w:t>
            </w:r>
          </w:p>
        </w:tc>
        <w:tc>
          <w:tcPr>
            <w:tcW w:w="2080" w:type="dxa"/>
            <w:tcBorders>
              <w:top w:val="nil"/>
              <w:left w:val="nil"/>
              <w:bottom w:val="double" w:sz="6" w:space="0" w:color="1E293B"/>
              <w:right w:val="single" w:sz="4" w:space="0" w:color="E2E8F0"/>
            </w:tcBorders>
            <w:shd w:val="clear" w:color="auto" w:fill="auto"/>
            <w:noWrap/>
            <w:vAlign w:val="center"/>
            <w:hideMark/>
          </w:tcPr>
          <w:p w14:paraId="1C2BF1A1"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5,09 €/kg</w:t>
            </w:r>
          </w:p>
        </w:tc>
        <w:tc>
          <w:tcPr>
            <w:tcW w:w="1580" w:type="dxa"/>
            <w:tcBorders>
              <w:top w:val="nil"/>
              <w:left w:val="nil"/>
              <w:bottom w:val="double" w:sz="6" w:space="0" w:color="1E293B"/>
              <w:right w:val="single" w:sz="4" w:space="0" w:color="E2E8F0"/>
            </w:tcBorders>
            <w:shd w:val="clear" w:color="auto" w:fill="auto"/>
            <w:noWrap/>
            <w:vAlign w:val="center"/>
            <w:hideMark/>
          </w:tcPr>
          <w:p w14:paraId="5CE17EC9"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+10,9%</w:t>
            </w:r>
          </w:p>
        </w:tc>
        <w:tc>
          <w:tcPr>
            <w:tcW w:w="2160" w:type="dxa"/>
            <w:tcBorders>
              <w:top w:val="nil"/>
              <w:left w:val="nil"/>
              <w:bottom w:val="double" w:sz="6" w:space="0" w:color="1E293B"/>
              <w:right w:val="single" w:sz="4" w:space="0" w:color="E2E8F0"/>
            </w:tcBorders>
            <w:shd w:val="clear" w:color="auto" w:fill="auto"/>
            <w:noWrap/>
            <w:vAlign w:val="center"/>
            <w:hideMark/>
          </w:tcPr>
          <w:p w14:paraId="51C9C1EE" w14:textId="77777777" w:rsidR="00A22FA3" w:rsidRPr="00A22FA3" w:rsidRDefault="00A22FA3" w:rsidP="00A22FA3">
            <w:pPr>
              <w:jc w:val="right"/>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3,58 €/kg</w:t>
            </w:r>
          </w:p>
        </w:tc>
        <w:tc>
          <w:tcPr>
            <w:tcW w:w="1580" w:type="dxa"/>
            <w:tcBorders>
              <w:top w:val="nil"/>
              <w:left w:val="nil"/>
              <w:bottom w:val="double" w:sz="6" w:space="0" w:color="1E293B"/>
              <w:right w:val="single" w:sz="4" w:space="0" w:color="E2E8F0"/>
            </w:tcBorders>
            <w:shd w:val="clear" w:color="auto" w:fill="auto"/>
            <w:noWrap/>
            <w:vAlign w:val="center"/>
            <w:hideMark/>
          </w:tcPr>
          <w:p w14:paraId="4421AA4B" w14:textId="77777777" w:rsidR="00A22FA3" w:rsidRPr="00A22FA3" w:rsidRDefault="00A22FA3" w:rsidP="00A22FA3">
            <w:pPr>
              <w:jc w:val="center"/>
              <w:rPr>
                <w:rFonts w:ascii="Calibri" w:hAnsi="Calibri" w:cs="Calibri"/>
                <w:color w:val="334155"/>
                <w:sz w:val="20"/>
                <w:szCs w:val="20"/>
                <w:lang w:val="en-US" w:eastAsia="en-US"/>
              </w:rPr>
            </w:pPr>
            <w:r w:rsidRPr="00A22FA3">
              <w:rPr>
                <w:rFonts w:ascii="Calibri" w:hAnsi="Calibri" w:cs="Calibri"/>
                <w:color w:val="334155"/>
                <w:sz w:val="20"/>
                <w:szCs w:val="20"/>
                <w:lang w:val="en-US" w:eastAsia="en-US"/>
              </w:rPr>
              <w:t>+3,9%</w:t>
            </w:r>
          </w:p>
        </w:tc>
      </w:tr>
    </w:tbl>
    <w:p w14:paraId="678494C4" w14:textId="644C0AFA" w:rsidR="00A22FA3" w:rsidRDefault="00A22FA3" w:rsidP="00A22FA3">
      <w:pPr>
        <w:spacing w:after="240" w:line="276" w:lineRule="auto"/>
        <w:jc w:val="center"/>
        <w:rPr>
          <w:rFonts w:asciiTheme="minorHAnsi" w:hAnsiTheme="minorHAnsi" w:cstheme="minorHAnsi"/>
          <w:sz w:val="22"/>
          <w:szCs w:val="22"/>
        </w:rPr>
      </w:pPr>
    </w:p>
    <w:p w14:paraId="544E089D" w14:textId="55CBF76C" w:rsidR="00A22FA3" w:rsidRDefault="00EF1E3C"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Θετικά εξελίχθηκε και η μέση τιμή του εξαγομένου αλουμινίου από την Ελλάδα στις ΗΠΑ, ακολουθώντας την αύξηση των τιμών αλουμινίου διεθνώς. Η μέση τιμή ανήλθε σε €5,09 / κιλό το 2026, από €4,59 το 2025 και €4,50 το 2024. Αντίστοιχη αύξηση παρουσίασε η μέση τιμή των αμερικανικών εξαγωγών, αλλά χαμηλότερη σε απόλυτη τιμή γιατί αφορά κυρίως </w:t>
      </w:r>
      <w:proofErr w:type="spellStart"/>
      <w:r>
        <w:rPr>
          <w:rFonts w:asciiTheme="minorHAnsi" w:hAnsiTheme="minorHAnsi" w:cstheme="minorHAnsi"/>
          <w:sz w:val="22"/>
          <w:szCs w:val="22"/>
        </w:rPr>
        <w:t>σκραπ</w:t>
      </w:r>
      <w:proofErr w:type="spellEnd"/>
      <w:r>
        <w:rPr>
          <w:rFonts w:asciiTheme="minorHAnsi" w:hAnsiTheme="minorHAnsi" w:cstheme="minorHAnsi"/>
          <w:sz w:val="22"/>
          <w:szCs w:val="22"/>
        </w:rPr>
        <w:t>. Η μέση τιμή διαμορφώθηκε σε €3,58, €3,44 και €2,71 αντιστοίχως τα έτη 2026-25-24.</w:t>
      </w:r>
    </w:p>
    <w:p w14:paraId="0CDFCB92" w14:textId="1A133F9D" w:rsidR="00C4734E" w:rsidRDefault="00C4734E" w:rsidP="00BA4C70">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 xml:space="preserve">Κατά την </w:t>
      </w:r>
      <w:r w:rsidR="00AF65AA">
        <w:rPr>
          <w:rFonts w:asciiTheme="minorHAnsi" w:hAnsiTheme="minorHAnsi" w:cstheme="minorHAnsi"/>
          <w:sz w:val="22"/>
          <w:szCs w:val="22"/>
        </w:rPr>
        <w:t>περίοδο Ιαν. – Αυγ. 2026, το 84,5% του συνόλου των ελληνικών εξαγωγών, ως προς την αξία, αφορούσε πλάκες και φύλλα αλουμινίου, το 11,4% αλουμινόχαρτο, το 2% κουφώματα και το 1,8% ράβδους και προφίλ.</w:t>
      </w:r>
      <w:r w:rsidR="00AF65AA" w:rsidRPr="00AF65AA">
        <w:rPr>
          <w:rFonts w:asciiTheme="minorHAnsi" w:hAnsiTheme="minorHAnsi" w:cstheme="minorHAnsi"/>
          <w:sz w:val="22"/>
          <w:szCs w:val="22"/>
        </w:rPr>
        <w:t xml:space="preserve"> </w:t>
      </w:r>
      <w:r w:rsidR="00294EC0">
        <w:rPr>
          <w:rFonts w:asciiTheme="minorHAnsi" w:hAnsiTheme="minorHAnsi" w:cstheme="minorHAnsi"/>
          <w:sz w:val="22"/>
          <w:szCs w:val="22"/>
        </w:rPr>
        <w:t>Σημαντική α</w:t>
      </w:r>
      <w:r w:rsidR="00AF65AA">
        <w:rPr>
          <w:rFonts w:asciiTheme="minorHAnsi" w:hAnsiTheme="minorHAnsi" w:cstheme="minorHAnsi"/>
          <w:sz w:val="22"/>
          <w:szCs w:val="22"/>
        </w:rPr>
        <w:t xml:space="preserve">ύξηση, εν συγκρίσει προς το 2025, </w:t>
      </w:r>
      <w:r w:rsidR="00294EC0">
        <w:rPr>
          <w:rFonts w:asciiTheme="minorHAnsi" w:hAnsiTheme="minorHAnsi" w:cstheme="minorHAnsi"/>
          <w:sz w:val="22"/>
          <w:szCs w:val="22"/>
        </w:rPr>
        <w:t xml:space="preserve">από €95 εκ. σε 141 εκ., </w:t>
      </w:r>
      <w:r w:rsidR="00AF65AA">
        <w:rPr>
          <w:rFonts w:asciiTheme="minorHAnsi" w:hAnsiTheme="minorHAnsi" w:cstheme="minorHAnsi"/>
          <w:sz w:val="22"/>
          <w:szCs w:val="22"/>
        </w:rPr>
        <w:t xml:space="preserve">είχαν μόνο οι πλάκες και φύλλα αλουμινίου, ενώ </w:t>
      </w:r>
      <w:r w:rsidR="00294EC0">
        <w:rPr>
          <w:rFonts w:asciiTheme="minorHAnsi" w:hAnsiTheme="minorHAnsi" w:cstheme="minorHAnsi"/>
          <w:sz w:val="22"/>
          <w:szCs w:val="22"/>
        </w:rPr>
        <w:t xml:space="preserve">στασιμότητα σημείωσε το αλουμινόχαρτο σημείωσε και πτώση τα κουφώματα. Επομένως, </w:t>
      </w:r>
      <w:r w:rsidR="00294EC0" w:rsidRPr="00294EC0">
        <w:rPr>
          <w:rFonts w:asciiTheme="minorHAnsi" w:hAnsiTheme="minorHAnsi" w:cstheme="minorHAnsi"/>
          <w:sz w:val="22"/>
          <w:szCs w:val="22"/>
          <w:u w:val="single"/>
        </w:rPr>
        <w:t>η αυξητική τάση δεν είναι οριζόντια αλλά αφορά τα ενδιάμεσα είδη που είναι απαραίτητα στην αμερικανική παραγωγή</w:t>
      </w:r>
      <w:r w:rsidR="00294EC0">
        <w:rPr>
          <w:rFonts w:asciiTheme="minorHAnsi" w:hAnsiTheme="minorHAnsi" w:cstheme="minorHAnsi"/>
          <w:sz w:val="22"/>
          <w:szCs w:val="22"/>
        </w:rPr>
        <w:t>, ενώ οι υπόλοιπες κατηγορίες έχουν επηρεασθεί από τους δασμούς.</w:t>
      </w:r>
    </w:p>
    <w:p w14:paraId="747CA14D" w14:textId="6C45006E" w:rsidR="00EF1E3C" w:rsidRDefault="00EF1E3C" w:rsidP="00BA4C70">
      <w:pPr>
        <w:spacing w:after="240" w:line="276" w:lineRule="auto"/>
        <w:jc w:val="both"/>
        <w:rPr>
          <w:rFonts w:asciiTheme="minorHAnsi" w:hAnsiTheme="minorHAnsi" w:cstheme="minorHAnsi"/>
          <w:sz w:val="22"/>
          <w:szCs w:val="22"/>
        </w:rPr>
      </w:pPr>
    </w:p>
    <w:p w14:paraId="569E23DF" w14:textId="4C179949" w:rsidR="00C64449" w:rsidRPr="00631981" w:rsidRDefault="00C64449" w:rsidP="00294EC0">
      <w:pPr>
        <w:spacing w:after="240" w:line="276" w:lineRule="auto"/>
        <w:jc w:val="both"/>
        <w:rPr>
          <w:rFonts w:asciiTheme="minorHAnsi" w:hAnsiTheme="minorHAnsi" w:cstheme="minorHAnsi"/>
          <w:b/>
          <w:color w:val="1F497D" w:themeColor="text2"/>
        </w:rPr>
      </w:pPr>
      <w:r w:rsidRPr="00631981">
        <w:rPr>
          <w:rFonts w:asciiTheme="minorHAnsi" w:hAnsiTheme="minorHAnsi" w:cstheme="minorHAnsi"/>
          <w:b/>
          <w:color w:val="1F497D" w:themeColor="text2"/>
        </w:rPr>
        <w:t xml:space="preserve">Β. </w:t>
      </w:r>
      <w:r w:rsidRPr="00631981">
        <w:rPr>
          <w:rFonts w:asciiTheme="minorHAnsi" w:hAnsiTheme="minorHAnsi" w:cstheme="minorHAnsi"/>
          <w:b/>
          <w:color w:val="1F497D" w:themeColor="text2"/>
        </w:rPr>
        <w:tab/>
        <w:t>Η αγορά των ΗΠΑ – Παραγωγή, κατανάλωση, διεθνείς ροές</w:t>
      </w:r>
    </w:p>
    <w:p w14:paraId="6A6DEB5C" w14:textId="169EA32C" w:rsidR="00E6155A" w:rsidRPr="00E6155A" w:rsidRDefault="00E6155A" w:rsidP="00294EC0">
      <w:pPr>
        <w:spacing w:after="240" w:line="276" w:lineRule="auto"/>
        <w:jc w:val="both"/>
        <w:rPr>
          <w:rFonts w:asciiTheme="minorHAnsi" w:hAnsiTheme="minorHAnsi" w:cstheme="minorHAnsi"/>
          <w:sz w:val="22"/>
          <w:szCs w:val="22"/>
        </w:rPr>
      </w:pPr>
      <w:r w:rsidRPr="00E6155A">
        <w:rPr>
          <w:rFonts w:asciiTheme="minorHAnsi" w:hAnsiTheme="minorHAnsi" w:cstheme="minorHAnsi"/>
          <w:sz w:val="22"/>
          <w:szCs w:val="22"/>
        </w:rPr>
        <w:t>Η αγορά αλουμινίου των ΗΠΑ χαρακτηρίζεται από ένα μόνιμο διαρθρωτικό έλλειμμα προσφοράς πρωτογενούς μετάλλου</w:t>
      </w:r>
      <w:r>
        <w:rPr>
          <w:rFonts w:asciiTheme="minorHAnsi" w:hAnsiTheme="minorHAnsi" w:cstheme="minorHAnsi"/>
          <w:sz w:val="22"/>
          <w:szCs w:val="22"/>
        </w:rPr>
        <w:t xml:space="preserve">. Η </w:t>
      </w:r>
      <w:r w:rsidRPr="00E6155A">
        <w:rPr>
          <w:rFonts w:asciiTheme="minorHAnsi" w:hAnsiTheme="minorHAnsi" w:cstheme="minorHAnsi"/>
          <w:sz w:val="22"/>
          <w:szCs w:val="22"/>
        </w:rPr>
        <w:t xml:space="preserve">ισορροπία </w:t>
      </w:r>
      <w:proofErr w:type="spellStart"/>
      <w:r>
        <w:rPr>
          <w:rFonts w:asciiTheme="minorHAnsi" w:hAnsiTheme="minorHAnsi" w:cstheme="minorHAnsi"/>
          <w:sz w:val="22"/>
          <w:szCs w:val="22"/>
        </w:rPr>
        <w:t>ισσοροπία</w:t>
      </w:r>
      <w:proofErr w:type="spellEnd"/>
      <w:r>
        <w:rPr>
          <w:rFonts w:asciiTheme="minorHAnsi" w:hAnsiTheme="minorHAnsi" w:cstheme="minorHAnsi"/>
          <w:sz w:val="22"/>
          <w:szCs w:val="22"/>
        </w:rPr>
        <w:t xml:space="preserve"> </w:t>
      </w:r>
      <w:r w:rsidRPr="00E6155A">
        <w:rPr>
          <w:rFonts w:asciiTheme="minorHAnsi" w:hAnsiTheme="minorHAnsi" w:cstheme="minorHAnsi"/>
          <w:sz w:val="22"/>
          <w:szCs w:val="22"/>
        </w:rPr>
        <w:t>μέσω της έντονης εξάρτησης από εισαγωγές (κυρίως από τον Καναδά) και ενός εκτεταμένου εγχώριου τομέα δευτερογενούς ανακύκλωσης.</w:t>
      </w:r>
    </w:p>
    <w:p w14:paraId="4060735D" w14:textId="2BB32D5A" w:rsidR="006A294B" w:rsidRDefault="00E6155A" w:rsidP="00294EC0">
      <w:pPr>
        <w:spacing w:after="240" w:line="276" w:lineRule="auto"/>
        <w:jc w:val="both"/>
        <w:rPr>
          <w:rFonts w:asciiTheme="minorHAnsi" w:hAnsiTheme="minorHAnsi" w:cstheme="minorHAnsi"/>
          <w:sz w:val="22"/>
          <w:szCs w:val="22"/>
        </w:rPr>
      </w:pPr>
      <w:r w:rsidRPr="00E6155A">
        <w:rPr>
          <w:rFonts w:asciiTheme="minorHAnsi" w:hAnsiTheme="minorHAnsi" w:cstheme="minorHAnsi"/>
          <w:sz w:val="22"/>
          <w:szCs w:val="22"/>
        </w:rPr>
        <w:t>Σύμφωνα με την έκδοση «</w:t>
      </w:r>
      <w:proofErr w:type="spellStart"/>
      <w:r w:rsidRPr="00E6155A">
        <w:rPr>
          <w:rFonts w:asciiTheme="minorHAnsi" w:hAnsiTheme="minorHAnsi" w:cstheme="minorHAnsi"/>
          <w:sz w:val="22"/>
          <w:szCs w:val="22"/>
        </w:rPr>
        <w:t>Mineral</w:t>
      </w:r>
      <w:proofErr w:type="spellEnd"/>
      <w:r w:rsidRPr="00E6155A">
        <w:rPr>
          <w:rFonts w:asciiTheme="minorHAnsi" w:hAnsiTheme="minorHAnsi" w:cstheme="minorHAnsi"/>
          <w:sz w:val="22"/>
          <w:szCs w:val="22"/>
        </w:rPr>
        <w:t xml:space="preserve"> </w:t>
      </w:r>
      <w:proofErr w:type="spellStart"/>
      <w:r w:rsidRPr="00E6155A">
        <w:rPr>
          <w:rFonts w:asciiTheme="minorHAnsi" w:hAnsiTheme="minorHAnsi" w:cstheme="minorHAnsi"/>
          <w:sz w:val="22"/>
          <w:szCs w:val="22"/>
        </w:rPr>
        <w:t>Commodity</w:t>
      </w:r>
      <w:proofErr w:type="spellEnd"/>
      <w:r w:rsidRPr="00E6155A">
        <w:rPr>
          <w:rFonts w:asciiTheme="minorHAnsi" w:hAnsiTheme="minorHAnsi" w:cstheme="minorHAnsi"/>
          <w:sz w:val="22"/>
          <w:szCs w:val="22"/>
        </w:rPr>
        <w:t xml:space="preserve"> </w:t>
      </w:r>
      <w:proofErr w:type="spellStart"/>
      <w:r w:rsidRPr="00E6155A">
        <w:rPr>
          <w:rFonts w:asciiTheme="minorHAnsi" w:hAnsiTheme="minorHAnsi" w:cstheme="minorHAnsi"/>
          <w:sz w:val="22"/>
          <w:szCs w:val="22"/>
        </w:rPr>
        <w:t>Summaries</w:t>
      </w:r>
      <w:proofErr w:type="spellEnd"/>
      <w:r w:rsidRPr="00E6155A">
        <w:rPr>
          <w:rFonts w:asciiTheme="minorHAnsi" w:hAnsiTheme="minorHAnsi" w:cstheme="minorHAnsi"/>
          <w:sz w:val="22"/>
          <w:szCs w:val="22"/>
        </w:rPr>
        <w:t xml:space="preserve"> 2026» της Γεωλογικής Υπηρεσίας των ΗΠΑ (USGS), οι ΗΠΑ παρουσιάζουν καθαρή εξάρτηση από εισαγωγές της τάξης του 60% επί της φαινομενικής κατανάλωσης. Η μέση τιμή άμεσης παράδοσης (</w:t>
      </w:r>
      <w:proofErr w:type="spellStart"/>
      <w:r w:rsidRPr="00E6155A">
        <w:rPr>
          <w:rFonts w:asciiTheme="minorHAnsi" w:hAnsiTheme="minorHAnsi" w:cstheme="minorHAnsi"/>
          <w:sz w:val="22"/>
          <w:szCs w:val="22"/>
        </w:rPr>
        <w:t>spot</w:t>
      </w:r>
      <w:proofErr w:type="spellEnd"/>
      <w:r w:rsidRPr="00E6155A">
        <w:rPr>
          <w:rFonts w:asciiTheme="minorHAnsi" w:hAnsiTheme="minorHAnsi" w:cstheme="minorHAnsi"/>
          <w:sz w:val="22"/>
          <w:szCs w:val="22"/>
        </w:rPr>
        <w:t xml:space="preserve"> </w:t>
      </w:r>
      <w:proofErr w:type="spellStart"/>
      <w:r w:rsidRPr="00E6155A">
        <w:rPr>
          <w:rFonts w:asciiTheme="minorHAnsi" w:hAnsiTheme="minorHAnsi" w:cstheme="minorHAnsi"/>
          <w:sz w:val="22"/>
          <w:szCs w:val="22"/>
        </w:rPr>
        <w:t>price</w:t>
      </w:r>
      <w:proofErr w:type="spellEnd"/>
      <w:r w:rsidRPr="00E6155A">
        <w:rPr>
          <w:rFonts w:asciiTheme="minorHAnsi" w:hAnsiTheme="minorHAnsi" w:cstheme="minorHAnsi"/>
          <w:sz w:val="22"/>
          <w:szCs w:val="22"/>
        </w:rPr>
        <w:t xml:space="preserve">) για πλινθώματα </w:t>
      </w:r>
      <w:r>
        <w:rPr>
          <w:rFonts w:asciiTheme="minorHAnsi" w:hAnsiTheme="minorHAnsi" w:cstheme="minorHAnsi"/>
          <w:sz w:val="22"/>
          <w:szCs w:val="22"/>
        </w:rPr>
        <w:t>(</w:t>
      </w:r>
      <w:r>
        <w:rPr>
          <w:rFonts w:asciiTheme="minorHAnsi" w:hAnsiTheme="minorHAnsi" w:cstheme="minorHAnsi"/>
          <w:sz w:val="22"/>
          <w:szCs w:val="22"/>
          <w:lang w:val="en-US"/>
        </w:rPr>
        <w:t>ingots</w:t>
      </w:r>
      <w:r w:rsidRPr="00E6155A">
        <w:rPr>
          <w:rFonts w:asciiTheme="minorHAnsi" w:hAnsiTheme="minorHAnsi" w:cstheme="minorHAnsi"/>
          <w:sz w:val="22"/>
          <w:szCs w:val="22"/>
        </w:rPr>
        <w:t xml:space="preserve">) στην αμερικανική αγορά ανήλθε στα 180,0 σεντς ανά λίβρα (3.968 </w:t>
      </w:r>
      <w:proofErr w:type="spellStart"/>
      <w:r w:rsidRPr="00E6155A">
        <w:rPr>
          <w:rFonts w:asciiTheme="minorHAnsi" w:hAnsiTheme="minorHAnsi" w:cstheme="minorHAnsi"/>
          <w:sz w:val="22"/>
          <w:szCs w:val="22"/>
        </w:rPr>
        <w:t>δο</w:t>
      </w:r>
      <w:proofErr w:type="spellEnd"/>
      <w:r>
        <w:rPr>
          <w:rFonts w:asciiTheme="minorHAnsi" w:hAnsiTheme="minorHAnsi" w:cstheme="minorHAnsi"/>
          <w:sz w:val="22"/>
          <w:szCs w:val="22"/>
          <w:lang w:val="en-US"/>
        </w:rPr>
        <w:t>l</w:t>
      </w:r>
      <w:proofErr w:type="spellStart"/>
      <w:r w:rsidRPr="00E6155A">
        <w:rPr>
          <w:rFonts w:asciiTheme="minorHAnsi" w:hAnsiTheme="minorHAnsi" w:cstheme="minorHAnsi"/>
          <w:sz w:val="22"/>
          <w:szCs w:val="22"/>
        </w:rPr>
        <w:t>λάρια</w:t>
      </w:r>
      <w:proofErr w:type="spellEnd"/>
      <w:r w:rsidRPr="00E6155A">
        <w:rPr>
          <w:rFonts w:asciiTheme="minorHAnsi" w:hAnsiTheme="minorHAnsi" w:cstheme="minorHAnsi"/>
          <w:sz w:val="22"/>
          <w:szCs w:val="22"/>
        </w:rPr>
        <w:t xml:space="preserve"> ανά μετρικό τόνο) το 2025 —σημειώνοντας απότομη αύξηση από τα 129,5 σεντς ανά λίβρα το 2024— κατόπιν της επέκτασης των δασμών του «</w:t>
      </w:r>
      <w:proofErr w:type="spellStart"/>
      <w:r w:rsidRPr="00E6155A">
        <w:rPr>
          <w:rFonts w:asciiTheme="minorHAnsi" w:hAnsiTheme="minorHAnsi" w:cstheme="minorHAnsi"/>
          <w:sz w:val="22"/>
          <w:szCs w:val="22"/>
        </w:rPr>
        <w:t>Section</w:t>
      </w:r>
      <w:proofErr w:type="spellEnd"/>
      <w:r w:rsidRPr="00E6155A">
        <w:rPr>
          <w:rFonts w:asciiTheme="minorHAnsi" w:hAnsiTheme="minorHAnsi" w:cstheme="minorHAnsi"/>
          <w:sz w:val="22"/>
          <w:szCs w:val="22"/>
        </w:rPr>
        <w:t xml:space="preserve"> 232» (ύψους 25%) και της κατάργησης των εξαιρέσεων που ίσχυαν για συγκεκριμένες χώρες. </w:t>
      </w:r>
      <w:r>
        <w:rPr>
          <w:rFonts w:asciiTheme="minorHAnsi" w:hAnsiTheme="minorHAnsi" w:cstheme="minorHAnsi"/>
          <w:sz w:val="22"/>
          <w:szCs w:val="22"/>
        </w:rPr>
        <w:t xml:space="preserve">Είναι προφανές ότι </w:t>
      </w:r>
      <w:r w:rsidRPr="008306F3">
        <w:rPr>
          <w:rFonts w:asciiTheme="minorHAnsi" w:hAnsiTheme="minorHAnsi" w:cstheme="minorHAnsi"/>
          <w:sz w:val="22"/>
          <w:szCs w:val="22"/>
          <w:u w:val="single"/>
        </w:rPr>
        <w:t xml:space="preserve">η επιβολή εισαγωγικών δασμών είχε αρνητικά αποτελέσματα </w:t>
      </w:r>
      <w:r w:rsidR="00294EC0">
        <w:rPr>
          <w:rFonts w:asciiTheme="minorHAnsi" w:hAnsiTheme="minorHAnsi" w:cstheme="minorHAnsi"/>
          <w:sz w:val="22"/>
          <w:szCs w:val="22"/>
          <w:u w:val="single"/>
        </w:rPr>
        <w:t xml:space="preserve">συνολικά </w:t>
      </w:r>
      <w:r w:rsidRPr="008306F3">
        <w:rPr>
          <w:rFonts w:asciiTheme="minorHAnsi" w:hAnsiTheme="minorHAnsi" w:cstheme="minorHAnsi"/>
          <w:sz w:val="22"/>
          <w:szCs w:val="22"/>
          <w:u w:val="single"/>
        </w:rPr>
        <w:t>για την αγορά των ΗΠΑ</w:t>
      </w:r>
      <w:r>
        <w:rPr>
          <w:rFonts w:asciiTheme="minorHAnsi" w:hAnsiTheme="minorHAnsi" w:cstheme="minorHAnsi"/>
          <w:sz w:val="22"/>
          <w:szCs w:val="22"/>
        </w:rPr>
        <w:t xml:space="preserve">, λόγω αύξησης κόστους τόσο των εισροών για την εγχώρια βιομηχανία όσο και των τιμών που καταβάλλουν οι τελικοί καταναλωτές, για την αγορά </w:t>
      </w:r>
      <w:proofErr w:type="spellStart"/>
      <w:r>
        <w:rPr>
          <w:rFonts w:asciiTheme="minorHAnsi" w:hAnsiTheme="minorHAnsi" w:cstheme="minorHAnsi"/>
          <w:sz w:val="22"/>
          <w:szCs w:val="22"/>
        </w:rPr>
        <w:t>φερ</w:t>
      </w:r>
      <w:proofErr w:type="spellEnd"/>
      <w:r>
        <w:rPr>
          <w:rFonts w:asciiTheme="minorHAnsi" w:hAnsiTheme="minorHAnsi" w:cstheme="minorHAnsi"/>
          <w:sz w:val="22"/>
          <w:szCs w:val="22"/>
        </w:rPr>
        <w:t>’ ειπείν οχημάτων, κουφωμάτων, λευκών συσκευών, κλπ.</w:t>
      </w:r>
    </w:p>
    <w:p w14:paraId="5FB9FF74" w14:textId="77777777" w:rsidR="00651667" w:rsidRDefault="00651667">
      <w:pPr>
        <w:spacing w:after="200" w:line="276" w:lineRule="auto"/>
        <w:rPr>
          <w:rFonts w:asciiTheme="minorHAnsi" w:hAnsiTheme="minorHAnsi" w:cstheme="minorHAnsi"/>
          <w:b/>
          <w:sz w:val="22"/>
          <w:szCs w:val="22"/>
        </w:rPr>
      </w:pPr>
      <w:r>
        <w:rPr>
          <w:rFonts w:asciiTheme="minorHAnsi" w:hAnsiTheme="minorHAnsi" w:cstheme="minorHAnsi"/>
          <w:b/>
          <w:sz w:val="22"/>
          <w:szCs w:val="22"/>
        </w:rPr>
        <w:br w:type="page"/>
      </w:r>
    </w:p>
    <w:p w14:paraId="2E34ED96" w14:textId="69864961" w:rsidR="006A294B" w:rsidRPr="006A294B" w:rsidRDefault="006A294B" w:rsidP="006A294B">
      <w:pPr>
        <w:spacing w:after="240" w:line="276" w:lineRule="auto"/>
        <w:jc w:val="both"/>
        <w:rPr>
          <w:rFonts w:asciiTheme="minorHAnsi" w:hAnsiTheme="minorHAnsi" w:cstheme="minorHAnsi"/>
          <w:b/>
          <w:sz w:val="22"/>
          <w:szCs w:val="22"/>
        </w:rPr>
      </w:pPr>
      <w:r w:rsidRPr="006A294B">
        <w:rPr>
          <w:rFonts w:asciiTheme="minorHAnsi" w:hAnsiTheme="minorHAnsi" w:cstheme="minorHAnsi"/>
          <w:b/>
          <w:sz w:val="22"/>
          <w:szCs w:val="22"/>
        </w:rPr>
        <w:lastRenderedPageBreak/>
        <w:t xml:space="preserve">Εγχώρια Παραγωγή (4,260 </w:t>
      </w:r>
      <w:proofErr w:type="spellStart"/>
      <w:r w:rsidRPr="006A294B">
        <w:rPr>
          <w:rFonts w:asciiTheme="minorHAnsi" w:hAnsiTheme="minorHAnsi" w:cstheme="minorHAnsi"/>
          <w:b/>
          <w:sz w:val="22"/>
          <w:szCs w:val="22"/>
        </w:rPr>
        <w:t>kt</w:t>
      </w:r>
      <w:proofErr w:type="spellEnd"/>
      <w:r w:rsidRPr="006A294B">
        <w:rPr>
          <w:rFonts w:asciiTheme="minorHAnsi" w:hAnsiTheme="minorHAnsi" w:cstheme="minorHAnsi"/>
          <w:b/>
          <w:sz w:val="22"/>
          <w:szCs w:val="22"/>
        </w:rPr>
        <w:t xml:space="preserve"> Συνολικά)</w:t>
      </w:r>
    </w:p>
    <w:p w14:paraId="3F8B70EE" w14:textId="77777777" w:rsidR="006A294B" w:rsidRPr="006A294B" w:rsidRDefault="006A294B" w:rsidP="006A294B">
      <w:p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 xml:space="preserve">Πρωτογενής Τήξη (660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xml:space="preserve">): Η πρωτογενής παραγωγή αλουμινίου των ΗΠΑ σημειώνει σταθερή πτώση λόγω του υψηλού κόστους ηλεκτρικής ενέργειας και των παλαιωμένων υποδομών, μετά τη μόνιμη διακοπή λειτουργίας του χυτηρίου </w:t>
      </w:r>
      <w:proofErr w:type="spellStart"/>
      <w:r w:rsidRPr="006A294B">
        <w:rPr>
          <w:rFonts w:asciiTheme="minorHAnsi" w:hAnsiTheme="minorHAnsi" w:cstheme="minorHAnsi"/>
          <w:sz w:val="22"/>
          <w:szCs w:val="22"/>
        </w:rPr>
        <w:t>New</w:t>
      </w:r>
      <w:proofErr w:type="spellEnd"/>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Madrid</w:t>
      </w:r>
      <w:proofErr w:type="spellEnd"/>
      <w:r w:rsidRPr="006A294B">
        <w:rPr>
          <w:rFonts w:asciiTheme="minorHAnsi" w:hAnsiTheme="minorHAnsi" w:cstheme="minorHAnsi"/>
          <w:sz w:val="22"/>
          <w:szCs w:val="22"/>
        </w:rPr>
        <w:t xml:space="preserve"> στο </w:t>
      </w:r>
      <w:proofErr w:type="spellStart"/>
      <w:r w:rsidRPr="006A294B">
        <w:rPr>
          <w:rFonts w:asciiTheme="minorHAnsi" w:hAnsiTheme="minorHAnsi" w:cstheme="minorHAnsi"/>
          <w:sz w:val="22"/>
          <w:szCs w:val="22"/>
        </w:rPr>
        <w:t>Μισούρι</w:t>
      </w:r>
      <w:proofErr w:type="spellEnd"/>
      <w:r w:rsidRPr="006A294B">
        <w:rPr>
          <w:rFonts w:asciiTheme="minorHAnsi" w:hAnsiTheme="minorHAnsi" w:cstheme="minorHAnsi"/>
          <w:sz w:val="22"/>
          <w:szCs w:val="22"/>
        </w:rPr>
        <w:t xml:space="preserve"> στις αρχές του 2024. Τρεις εταιρείες λειτουργούν έξι πρωτογενή χυτήρια σε πέντε πολιτείες (δύο σε πλήρη δυναμικότητα, δύο σε μειωμένη δυναμικότητα), αντιπροσωπεύοντας περίπου το 11,5% της φαινόμενης εγχώριας κατανάλωσης.</w:t>
      </w:r>
    </w:p>
    <w:p w14:paraId="63782157" w14:textId="1347BF8F" w:rsidR="006A294B" w:rsidRDefault="006A294B" w:rsidP="006A294B">
      <w:p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 xml:space="preserve">Δευτερογενής Ανακύκλωση (3,600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Το ανακυκλωμένο αλουμίνιο αποτελεί τη</w:t>
      </w:r>
      <w:r>
        <w:rPr>
          <w:rFonts w:asciiTheme="minorHAnsi" w:hAnsiTheme="minorHAnsi" w:cstheme="minorHAnsi"/>
          <w:sz w:val="22"/>
          <w:szCs w:val="22"/>
        </w:rPr>
        <w:t>ν</w:t>
      </w:r>
      <w:r w:rsidRPr="006A294B">
        <w:rPr>
          <w:rFonts w:asciiTheme="minorHAnsi" w:hAnsiTheme="minorHAnsi" w:cstheme="minorHAnsi"/>
          <w:sz w:val="22"/>
          <w:szCs w:val="22"/>
        </w:rPr>
        <w:t xml:space="preserve"> ραχοκοκαλιά της εγχώριας προσφοράς. Περίπου 56% (2,000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xml:space="preserve">) ανακτάται από νέα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που παράγονται κατά τις διαδικασίες μεταποίησης (όπως </w:t>
      </w:r>
      <w:r>
        <w:rPr>
          <w:rFonts w:asciiTheme="minorHAnsi" w:hAnsiTheme="minorHAnsi" w:cstheme="minorHAnsi"/>
          <w:sz w:val="22"/>
          <w:szCs w:val="22"/>
        </w:rPr>
        <w:t>από αποσυρθέντα οχήματα</w:t>
      </w:r>
      <w:r w:rsidRPr="006A294B">
        <w:rPr>
          <w:rFonts w:asciiTheme="minorHAnsi" w:hAnsiTheme="minorHAnsi" w:cstheme="minorHAnsi"/>
          <w:sz w:val="22"/>
          <w:szCs w:val="22"/>
        </w:rPr>
        <w:t xml:space="preserve"> και </w:t>
      </w:r>
      <w:r>
        <w:rPr>
          <w:rFonts w:asciiTheme="minorHAnsi" w:hAnsiTheme="minorHAnsi" w:cstheme="minorHAnsi"/>
          <w:sz w:val="22"/>
          <w:szCs w:val="22"/>
        </w:rPr>
        <w:t>την</w:t>
      </w:r>
      <w:r w:rsidRPr="006A294B">
        <w:rPr>
          <w:rFonts w:asciiTheme="minorHAnsi" w:hAnsiTheme="minorHAnsi" w:cstheme="minorHAnsi"/>
          <w:sz w:val="22"/>
          <w:szCs w:val="22"/>
        </w:rPr>
        <w:t xml:space="preserve"> μηχανουργική κατεργασία αεροδιαστημικής), ενώ το 44% (1,600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προέρχεται από παλαι</w:t>
      </w:r>
      <w:r>
        <w:rPr>
          <w:rFonts w:asciiTheme="minorHAnsi" w:hAnsiTheme="minorHAnsi" w:cstheme="minorHAnsi"/>
          <w:sz w:val="22"/>
          <w:szCs w:val="22"/>
        </w:rPr>
        <w:t>ό</w:t>
      </w:r>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(κουτιά αναψυκτικών, οχήματα στο τέλος του κύκλου ζωής τους και δομικά υλικά). Τ</w:t>
      </w:r>
      <w:r>
        <w:rPr>
          <w:rFonts w:asciiTheme="minorHAnsi" w:hAnsiTheme="minorHAnsi" w:cstheme="minorHAnsi"/>
          <w:sz w:val="22"/>
          <w:szCs w:val="22"/>
        </w:rPr>
        <w:t>ο</w:t>
      </w:r>
      <w:r w:rsidRPr="006A294B">
        <w:rPr>
          <w:rFonts w:asciiTheme="minorHAnsi" w:hAnsiTheme="minorHAnsi" w:cstheme="minorHAnsi"/>
          <w:sz w:val="22"/>
          <w:szCs w:val="22"/>
        </w:rPr>
        <w:t xml:space="preserve"> παλαι</w:t>
      </w:r>
      <w:r>
        <w:rPr>
          <w:rFonts w:asciiTheme="minorHAnsi" w:hAnsiTheme="minorHAnsi" w:cstheme="minorHAnsi"/>
          <w:sz w:val="22"/>
          <w:szCs w:val="22"/>
        </w:rPr>
        <w:t>ό</w:t>
      </w:r>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καλύπτ</w:t>
      </w:r>
      <w:r>
        <w:rPr>
          <w:rFonts w:asciiTheme="minorHAnsi" w:hAnsiTheme="minorHAnsi" w:cstheme="minorHAnsi"/>
          <w:sz w:val="22"/>
          <w:szCs w:val="22"/>
        </w:rPr>
        <w:t>ει</w:t>
      </w:r>
      <w:r w:rsidRPr="006A294B">
        <w:rPr>
          <w:rFonts w:asciiTheme="minorHAnsi" w:hAnsiTheme="minorHAnsi" w:cstheme="minorHAnsi"/>
          <w:sz w:val="22"/>
          <w:szCs w:val="22"/>
        </w:rPr>
        <w:t xml:space="preserve"> το 28% της φαινόμενης κατανάλωσης των ΗΠΑ.</w:t>
      </w:r>
    </w:p>
    <w:p w14:paraId="28E31FC1" w14:textId="6530C5E6" w:rsidR="006A294B" w:rsidRPr="006A294B" w:rsidRDefault="006A294B" w:rsidP="006A294B">
      <w:pPr>
        <w:spacing w:after="240" w:line="276" w:lineRule="auto"/>
        <w:jc w:val="both"/>
        <w:rPr>
          <w:rFonts w:asciiTheme="minorHAnsi" w:hAnsiTheme="minorHAnsi" w:cstheme="minorHAnsi"/>
          <w:b/>
          <w:sz w:val="22"/>
          <w:szCs w:val="22"/>
        </w:rPr>
      </w:pPr>
      <w:r w:rsidRPr="006A294B">
        <w:rPr>
          <w:rFonts w:asciiTheme="minorHAnsi" w:hAnsiTheme="minorHAnsi" w:cstheme="minorHAnsi"/>
          <w:b/>
          <w:sz w:val="22"/>
          <w:szCs w:val="22"/>
        </w:rPr>
        <w:t xml:space="preserve">Εγχώρια Κατανάλωση ανά Τελική Χρήση (5,700 </w:t>
      </w:r>
      <w:proofErr w:type="spellStart"/>
      <w:r w:rsidRPr="006A294B">
        <w:rPr>
          <w:rFonts w:asciiTheme="minorHAnsi" w:hAnsiTheme="minorHAnsi" w:cstheme="minorHAnsi"/>
          <w:b/>
          <w:sz w:val="22"/>
          <w:szCs w:val="22"/>
        </w:rPr>
        <w:t>kt</w:t>
      </w:r>
      <w:proofErr w:type="spellEnd"/>
      <w:r w:rsidRPr="006A294B">
        <w:rPr>
          <w:rFonts w:asciiTheme="minorHAnsi" w:hAnsiTheme="minorHAnsi" w:cstheme="minorHAnsi"/>
          <w:b/>
          <w:sz w:val="22"/>
          <w:szCs w:val="22"/>
        </w:rPr>
        <w:t xml:space="preserve"> Φαινόμενη)</w:t>
      </w:r>
    </w:p>
    <w:p w14:paraId="2C45F865" w14:textId="385226E1" w:rsidR="006A294B" w:rsidRPr="006A294B" w:rsidRDefault="006A294B" w:rsidP="006A294B">
      <w:p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 xml:space="preserve">Με εκτιμώμενη αξία περίπου $67,7 </w:t>
      </w:r>
      <w:r>
        <w:rPr>
          <w:rFonts w:asciiTheme="minorHAnsi" w:hAnsiTheme="minorHAnsi" w:cstheme="minorHAnsi"/>
          <w:sz w:val="22"/>
          <w:szCs w:val="22"/>
        </w:rPr>
        <w:t>δισ.</w:t>
      </w:r>
      <w:r w:rsidRPr="006A294B">
        <w:rPr>
          <w:rFonts w:asciiTheme="minorHAnsi" w:hAnsiTheme="minorHAnsi" w:cstheme="minorHAnsi"/>
          <w:sz w:val="22"/>
          <w:szCs w:val="22"/>
        </w:rPr>
        <w:t xml:space="preserve"> έως $71,8 </w:t>
      </w:r>
      <w:r>
        <w:rPr>
          <w:rFonts w:asciiTheme="minorHAnsi" w:hAnsiTheme="minorHAnsi" w:cstheme="minorHAnsi"/>
          <w:sz w:val="22"/>
          <w:szCs w:val="22"/>
        </w:rPr>
        <w:t>δισ.</w:t>
      </w:r>
      <w:r w:rsidRPr="006A294B">
        <w:rPr>
          <w:rFonts w:asciiTheme="minorHAnsi" w:hAnsiTheme="minorHAnsi" w:cstheme="minorHAnsi"/>
          <w:sz w:val="22"/>
          <w:szCs w:val="22"/>
        </w:rPr>
        <w:t>, η εγχώρια ζήτηση των ΗΠΑ στηρίζεται στις τάσεις ελάφρυνσης στις μεταφορές και τη βιώσιμη συσκευασία:</w:t>
      </w:r>
    </w:p>
    <w:p w14:paraId="135706E6" w14:textId="2B481E8E" w:rsidR="006A294B" w:rsidRPr="006A294B" w:rsidRDefault="006A294B" w:rsidP="006A294B">
      <w:pPr>
        <w:pStyle w:val="ListParagraph"/>
        <w:numPr>
          <w:ilvl w:val="0"/>
          <w:numId w:val="22"/>
        </w:num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 xml:space="preserve">Μεταφορές (36%): Ο μεγαλύτερος </w:t>
      </w:r>
      <w:r>
        <w:rPr>
          <w:rFonts w:asciiTheme="minorHAnsi" w:hAnsiTheme="minorHAnsi" w:cstheme="minorHAnsi"/>
          <w:sz w:val="22"/>
          <w:szCs w:val="22"/>
        </w:rPr>
        <w:t>παράγων που κατευθύνει την</w:t>
      </w:r>
      <w:r w:rsidRPr="006A294B">
        <w:rPr>
          <w:rFonts w:asciiTheme="minorHAnsi" w:hAnsiTheme="minorHAnsi" w:cstheme="minorHAnsi"/>
          <w:sz w:val="22"/>
          <w:szCs w:val="22"/>
        </w:rPr>
        <w:t xml:space="preserve"> ζήτηση</w:t>
      </w:r>
      <w:r>
        <w:rPr>
          <w:rFonts w:asciiTheme="minorHAnsi" w:hAnsiTheme="minorHAnsi" w:cstheme="minorHAnsi"/>
          <w:sz w:val="22"/>
          <w:szCs w:val="22"/>
        </w:rPr>
        <w:t>. Τ</w:t>
      </w:r>
      <w:r w:rsidRPr="006A294B">
        <w:rPr>
          <w:rFonts w:asciiTheme="minorHAnsi" w:hAnsiTheme="minorHAnsi" w:cstheme="minorHAnsi"/>
          <w:sz w:val="22"/>
          <w:szCs w:val="22"/>
        </w:rPr>
        <w:t xml:space="preserve">ροφοδοτείται από τα καλύμματα μπαταριών ηλεκτρικών οχημάτων, τα χυτά πλαίσια, τις κατασκευές αεροδιαστημικής και τα ελαφρά φορτηγά (που υπερβαίνουν τα 400 </w:t>
      </w:r>
      <w:proofErr w:type="spellStart"/>
      <w:r w:rsidRPr="006A294B">
        <w:rPr>
          <w:rFonts w:asciiTheme="minorHAnsi" w:hAnsiTheme="minorHAnsi" w:cstheme="minorHAnsi"/>
          <w:sz w:val="22"/>
          <w:szCs w:val="22"/>
        </w:rPr>
        <w:t>lbs</w:t>
      </w:r>
      <w:proofErr w:type="spellEnd"/>
      <w:r w:rsidRPr="006A294B">
        <w:rPr>
          <w:rFonts w:asciiTheme="minorHAnsi" w:hAnsiTheme="minorHAnsi" w:cstheme="minorHAnsi"/>
          <w:sz w:val="22"/>
          <w:szCs w:val="22"/>
        </w:rPr>
        <w:t xml:space="preserve"> αλουμινίου ανά όχημα).</w:t>
      </w:r>
    </w:p>
    <w:p w14:paraId="0CB04E9E" w14:textId="77777777" w:rsidR="006A294B" w:rsidRPr="006A294B" w:rsidRDefault="006A294B" w:rsidP="006A294B">
      <w:pPr>
        <w:pStyle w:val="ListParagraph"/>
        <w:numPr>
          <w:ilvl w:val="0"/>
          <w:numId w:val="22"/>
        </w:num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Συσκευασία (24%): Καθοδηγείται από τα κουτιά αναψυκτικών και τα αλουμινόχαρτα που αντικαθιστούν τα πλαστικά μιας χρήσης.</w:t>
      </w:r>
    </w:p>
    <w:p w14:paraId="62C4CB8D" w14:textId="77777777" w:rsidR="006A294B" w:rsidRPr="006A294B" w:rsidRDefault="006A294B" w:rsidP="006A294B">
      <w:pPr>
        <w:pStyle w:val="ListParagraph"/>
        <w:numPr>
          <w:ilvl w:val="0"/>
          <w:numId w:val="22"/>
        </w:num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 xml:space="preserve">Δόμηση &amp; Κατασκευές (13%): Αρχιτεκτονικές </w:t>
      </w:r>
      <w:proofErr w:type="spellStart"/>
      <w:r w:rsidRPr="006A294B">
        <w:rPr>
          <w:rFonts w:asciiTheme="minorHAnsi" w:hAnsiTheme="minorHAnsi" w:cstheme="minorHAnsi"/>
          <w:sz w:val="22"/>
          <w:szCs w:val="22"/>
        </w:rPr>
        <w:t>διέλασεις</w:t>
      </w:r>
      <w:proofErr w:type="spellEnd"/>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υαλοπετάσματα</w:t>
      </w:r>
      <w:proofErr w:type="spellEnd"/>
      <w:r w:rsidRPr="006A294B">
        <w:rPr>
          <w:rFonts w:asciiTheme="minorHAnsi" w:hAnsiTheme="minorHAnsi" w:cstheme="minorHAnsi"/>
          <w:sz w:val="22"/>
          <w:szCs w:val="22"/>
        </w:rPr>
        <w:t xml:space="preserve"> και σκελετοί.</w:t>
      </w:r>
    </w:p>
    <w:p w14:paraId="32C1DD5B" w14:textId="77777777" w:rsidR="006A294B" w:rsidRPr="006A294B" w:rsidRDefault="006A294B" w:rsidP="006A294B">
      <w:pPr>
        <w:pStyle w:val="ListParagraph"/>
        <w:numPr>
          <w:ilvl w:val="0"/>
          <w:numId w:val="22"/>
        </w:num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Ηλεκτρολογικός Τομέας (9%): Γραμμές μεταφοράς ηλεκτρικής ενέργειας υψηλής τάσης και υποδομές δικτύου.</w:t>
      </w:r>
    </w:p>
    <w:p w14:paraId="5255AC92" w14:textId="706F7983" w:rsidR="006A294B" w:rsidRDefault="006A294B" w:rsidP="006A294B">
      <w:pPr>
        <w:pStyle w:val="ListParagraph"/>
        <w:numPr>
          <w:ilvl w:val="0"/>
          <w:numId w:val="22"/>
        </w:num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rPr>
        <w:t xml:space="preserve">Καταναλωτικά Διαρκή Αγαθά (8%) &amp; Μηχανήματα/Εξοπλισμός (8%): Συσκευές, βιομηχανικά εργαλεία και </w:t>
      </w:r>
      <w:proofErr w:type="spellStart"/>
      <w:r w:rsidRPr="006A294B">
        <w:rPr>
          <w:rFonts w:asciiTheme="minorHAnsi" w:hAnsiTheme="minorHAnsi" w:cstheme="minorHAnsi"/>
          <w:sz w:val="22"/>
          <w:szCs w:val="22"/>
        </w:rPr>
        <w:t>εναλλάκτες</w:t>
      </w:r>
      <w:proofErr w:type="spellEnd"/>
      <w:r w:rsidRPr="006A294B">
        <w:rPr>
          <w:rFonts w:asciiTheme="minorHAnsi" w:hAnsiTheme="minorHAnsi" w:cstheme="minorHAnsi"/>
          <w:sz w:val="22"/>
          <w:szCs w:val="22"/>
        </w:rPr>
        <w:t xml:space="preserve"> θερμότητας (με το υπόλοιπο 2% σε διάφορες εφαρμογές).</w:t>
      </w:r>
    </w:p>
    <w:p w14:paraId="7F9585BF" w14:textId="7D89F096" w:rsidR="00651667" w:rsidRDefault="00651667">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tbl>
      <w:tblPr>
        <w:tblW w:w="9088" w:type="dxa"/>
        <w:tblLook w:val="04A0" w:firstRow="1" w:lastRow="0" w:firstColumn="1" w:lastColumn="0" w:noHBand="0" w:noVBand="1"/>
      </w:tblPr>
      <w:tblGrid>
        <w:gridCol w:w="4680"/>
        <w:gridCol w:w="718"/>
        <w:gridCol w:w="900"/>
        <w:gridCol w:w="900"/>
        <w:gridCol w:w="900"/>
        <w:gridCol w:w="990"/>
      </w:tblGrid>
      <w:tr w:rsidR="00294EC0" w:rsidRPr="00294EC0" w14:paraId="0B5ECEA8" w14:textId="77777777" w:rsidTr="00631981">
        <w:trPr>
          <w:trHeight w:val="480"/>
        </w:trPr>
        <w:tc>
          <w:tcPr>
            <w:tcW w:w="9088" w:type="dxa"/>
            <w:gridSpan w:val="6"/>
            <w:tcBorders>
              <w:top w:val="nil"/>
              <w:left w:val="nil"/>
              <w:bottom w:val="nil"/>
              <w:right w:val="nil"/>
            </w:tcBorders>
            <w:shd w:val="clear" w:color="auto" w:fill="auto"/>
            <w:noWrap/>
            <w:vAlign w:val="bottom"/>
            <w:hideMark/>
          </w:tcPr>
          <w:p w14:paraId="7823AADD" w14:textId="6DB7AA46" w:rsidR="00294EC0" w:rsidRPr="00294EC0" w:rsidRDefault="006A294B" w:rsidP="00294EC0">
            <w:pPr>
              <w:rPr>
                <w:rFonts w:ascii="Calibri" w:hAnsi="Calibri" w:cs="Calibri"/>
                <w:b/>
                <w:bCs/>
                <w:color w:val="1E3A8A"/>
                <w:sz w:val="30"/>
                <w:szCs w:val="30"/>
                <w:lang w:val="en-US" w:eastAsia="en-US"/>
              </w:rPr>
            </w:pPr>
            <w:r>
              <w:rPr>
                <w:rFonts w:asciiTheme="minorHAnsi" w:hAnsiTheme="minorHAnsi" w:cstheme="minorHAnsi"/>
                <w:sz w:val="22"/>
                <w:szCs w:val="22"/>
              </w:rPr>
              <w:lastRenderedPageBreak/>
              <w:br w:type="page"/>
            </w:r>
            <w:r w:rsidR="00294EC0" w:rsidRPr="00294EC0">
              <w:rPr>
                <w:rFonts w:ascii="Calibri" w:hAnsi="Calibri" w:cs="Calibri"/>
                <w:b/>
                <w:bCs/>
                <w:color w:val="1E3A8A"/>
                <w:sz w:val="30"/>
                <w:szCs w:val="30"/>
                <w:lang w:val="en-US" w:eastAsia="en-US"/>
              </w:rPr>
              <w:t>ΙΣΟΖΥΓΙΟ ΑΓΟΡΑΣ ΑΛΟΥΜΙΝΙΟΥ ΗΠΑ (U.S. ALUMINUM MARKET BALANCE)</w:t>
            </w:r>
          </w:p>
        </w:tc>
      </w:tr>
      <w:tr w:rsidR="00294EC0" w:rsidRPr="00D42472" w14:paraId="6EC41FAC" w14:textId="77777777" w:rsidTr="00631981">
        <w:trPr>
          <w:trHeight w:val="360"/>
        </w:trPr>
        <w:tc>
          <w:tcPr>
            <w:tcW w:w="8098" w:type="dxa"/>
            <w:gridSpan w:val="5"/>
            <w:tcBorders>
              <w:top w:val="nil"/>
              <w:left w:val="nil"/>
              <w:bottom w:val="nil"/>
              <w:right w:val="nil"/>
            </w:tcBorders>
            <w:shd w:val="clear" w:color="auto" w:fill="auto"/>
            <w:noWrap/>
            <w:vAlign w:val="bottom"/>
            <w:hideMark/>
          </w:tcPr>
          <w:p w14:paraId="4F2ACBF0" w14:textId="1C081101" w:rsidR="00294EC0" w:rsidRPr="00294EC0" w:rsidRDefault="00294EC0" w:rsidP="00294EC0">
            <w:pPr>
              <w:rPr>
                <w:rFonts w:ascii="Calibri" w:hAnsi="Calibri" w:cs="Calibri"/>
                <w:i/>
                <w:iCs/>
                <w:color w:val="475569"/>
                <w:sz w:val="20"/>
                <w:szCs w:val="20"/>
                <w:lang w:val="en-US" w:eastAsia="en-US"/>
              </w:rPr>
            </w:pPr>
            <w:proofErr w:type="spellStart"/>
            <w:r w:rsidRPr="00294EC0">
              <w:rPr>
                <w:rFonts w:ascii="Calibri" w:hAnsi="Calibri" w:cs="Calibri"/>
                <w:i/>
                <w:iCs/>
                <w:color w:val="475569"/>
                <w:sz w:val="20"/>
                <w:szCs w:val="20"/>
                <w:lang w:val="en-US" w:eastAsia="en-US"/>
              </w:rPr>
              <w:t>Πηγή</w:t>
            </w:r>
            <w:proofErr w:type="spellEnd"/>
            <w:r w:rsidRPr="00294EC0">
              <w:rPr>
                <w:rFonts w:ascii="Calibri" w:hAnsi="Calibri" w:cs="Calibri"/>
                <w:i/>
                <w:iCs/>
                <w:color w:val="475569"/>
                <w:sz w:val="20"/>
                <w:szCs w:val="20"/>
                <w:lang w:val="en-US" w:eastAsia="en-US"/>
              </w:rPr>
              <w:t xml:space="preserve">: U.S. Geological Survey (USGS) Mineral Commodity Summaries | </w:t>
            </w:r>
          </w:p>
        </w:tc>
        <w:tc>
          <w:tcPr>
            <w:tcW w:w="990" w:type="dxa"/>
            <w:tcBorders>
              <w:top w:val="nil"/>
              <w:left w:val="nil"/>
              <w:bottom w:val="nil"/>
              <w:right w:val="nil"/>
            </w:tcBorders>
            <w:shd w:val="clear" w:color="auto" w:fill="auto"/>
            <w:noWrap/>
            <w:vAlign w:val="bottom"/>
            <w:hideMark/>
          </w:tcPr>
          <w:p w14:paraId="37DE85E9" w14:textId="77777777" w:rsidR="00294EC0" w:rsidRPr="00294EC0" w:rsidRDefault="00294EC0" w:rsidP="00294EC0">
            <w:pPr>
              <w:rPr>
                <w:rFonts w:ascii="Calibri" w:hAnsi="Calibri" w:cs="Calibri"/>
                <w:i/>
                <w:iCs/>
                <w:color w:val="475569"/>
                <w:sz w:val="20"/>
                <w:szCs w:val="20"/>
                <w:lang w:val="en-US" w:eastAsia="en-US"/>
              </w:rPr>
            </w:pPr>
          </w:p>
        </w:tc>
      </w:tr>
      <w:tr w:rsidR="006A294B" w:rsidRPr="00D42472" w14:paraId="60F54315" w14:textId="77777777" w:rsidTr="00631981">
        <w:trPr>
          <w:trHeight w:val="300"/>
        </w:trPr>
        <w:tc>
          <w:tcPr>
            <w:tcW w:w="4680" w:type="dxa"/>
            <w:tcBorders>
              <w:top w:val="nil"/>
              <w:left w:val="nil"/>
              <w:bottom w:val="nil"/>
              <w:right w:val="nil"/>
            </w:tcBorders>
            <w:shd w:val="clear" w:color="auto" w:fill="auto"/>
            <w:noWrap/>
            <w:vAlign w:val="bottom"/>
            <w:hideMark/>
          </w:tcPr>
          <w:p w14:paraId="74FFF621" w14:textId="77777777" w:rsidR="00294EC0" w:rsidRPr="00294EC0" w:rsidRDefault="00294EC0" w:rsidP="00294EC0">
            <w:pPr>
              <w:rPr>
                <w:sz w:val="20"/>
                <w:szCs w:val="20"/>
                <w:lang w:val="en-US" w:eastAsia="en-US"/>
              </w:rPr>
            </w:pPr>
          </w:p>
        </w:tc>
        <w:tc>
          <w:tcPr>
            <w:tcW w:w="718" w:type="dxa"/>
            <w:tcBorders>
              <w:top w:val="nil"/>
              <w:left w:val="nil"/>
              <w:bottom w:val="nil"/>
              <w:right w:val="nil"/>
            </w:tcBorders>
            <w:shd w:val="clear" w:color="auto" w:fill="auto"/>
            <w:noWrap/>
            <w:vAlign w:val="bottom"/>
            <w:hideMark/>
          </w:tcPr>
          <w:p w14:paraId="1A923884" w14:textId="77777777" w:rsidR="00294EC0" w:rsidRPr="00294EC0" w:rsidRDefault="00294EC0" w:rsidP="00294EC0">
            <w:pPr>
              <w:rPr>
                <w:sz w:val="20"/>
                <w:szCs w:val="20"/>
                <w:lang w:val="en-US" w:eastAsia="en-US"/>
              </w:rPr>
            </w:pPr>
          </w:p>
        </w:tc>
        <w:tc>
          <w:tcPr>
            <w:tcW w:w="900" w:type="dxa"/>
            <w:tcBorders>
              <w:top w:val="nil"/>
              <w:left w:val="nil"/>
              <w:bottom w:val="nil"/>
              <w:right w:val="nil"/>
            </w:tcBorders>
            <w:shd w:val="clear" w:color="auto" w:fill="auto"/>
            <w:noWrap/>
            <w:vAlign w:val="bottom"/>
            <w:hideMark/>
          </w:tcPr>
          <w:p w14:paraId="768EE269" w14:textId="77777777" w:rsidR="00294EC0" w:rsidRPr="00294EC0" w:rsidRDefault="00294EC0" w:rsidP="00294EC0">
            <w:pPr>
              <w:rPr>
                <w:sz w:val="20"/>
                <w:szCs w:val="20"/>
                <w:lang w:val="en-US" w:eastAsia="en-US"/>
              </w:rPr>
            </w:pPr>
          </w:p>
        </w:tc>
        <w:tc>
          <w:tcPr>
            <w:tcW w:w="900" w:type="dxa"/>
            <w:tcBorders>
              <w:top w:val="nil"/>
              <w:left w:val="nil"/>
              <w:bottom w:val="nil"/>
              <w:right w:val="nil"/>
            </w:tcBorders>
            <w:shd w:val="clear" w:color="auto" w:fill="auto"/>
            <w:noWrap/>
            <w:vAlign w:val="bottom"/>
            <w:hideMark/>
          </w:tcPr>
          <w:p w14:paraId="6290DAC4" w14:textId="77777777" w:rsidR="00294EC0" w:rsidRPr="00294EC0" w:rsidRDefault="00294EC0" w:rsidP="00294EC0">
            <w:pPr>
              <w:rPr>
                <w:sz w:val="20"/>
                <w:szCs w:val="20"/>
                <w:lang w:val="en-US" w:eastAsia="en-US"/>
              </w:rPr>
            </w:pPr>
          </w:p>
        </w:tc>
        <w:tc>
          <w:tcPr>
            <w:tcW w:w="900" w:type="dxa"/>
            <w:tcBorders>
              <w:top w:val="nil"/>
              <w:left w:val="nil"/>
              <w:bottom w:val="nil"/>
              <w:right w:val="nil"/>
            </w:tcBorders>
            <w:shd w:val="clear" w:color="auto" w:fill="auto"/>
            <w:noWrap/>
            <w:vAlign w:val="bottom"/>
            <w:hideMark/>
          </w:tcPr>
          <w:p w14:paraId="6A257E85" w14:textId="77777777" w:rsidR="00294EC0" w:rsidRPr="00294EC0" w:rsidRDefault="00294EC0" w:rsidP="00294EC0">
            <w:pPr>
              <w:rPr>
                <w:sz w:val="20"/>
                <w:szCs w:val="20"/>
                <w:lang w:val="en-US" w:eastAsia="en-US"/>
              </w:rPr>
            </w:pPr>
          </w:p>
        </w:tc>
        <w:tc>
          <w:tcPr>
            <w:tcW w:w="990" w:type="dxa"/>
            <w:tcBorders>
              <w:top w:val="nil"/>
              <w:left w:val="nil"/>
              <w:bottom w:val="nil"/>
              <w:right w:val="nil"/>
            </w:tcBorders>
            <w:shd w:val="clear" w:color="auto" w:fill="auto"/>
            <w:noWrap/>
            <w:vAlign w:val="bottom"/>
            <w:hideMark/>
          </w:tcPr>
          <w:p w14:paraId="3B73B50B" w14:textId="77777777" w:rsidR="00294EC0" w:rsidRPr="00294EC0" w:rsidRDefault="00294EC0" w:rsidP="00294EC0">
            <w:pPr>
              <w:rPr>
                <w:sz w:val="20"/>
                <w:szCs w:val="20"/>
                <w:lang w:val="en-US" w:eastAsia="en-US"/>
              </w:rPr>
            </w:pPr>
          </w:p>
        </w:tc>
      </w:tr>
      <w:tr w:rsidR="00294EC0" w:rsidRPr="00294EC0" w14:paraId="523D947B" w14:textId="77777777" w:rsidTr="00631981">
        <w:trPr>
          <w:trHeight w:val="402"/>
        </w:trPr>
        <w:tc>
          <w:tcPr>
            <w:tcW w:w="7198" w:type="dxa"/>
            <w:gridSpan w:val="4"/>
            <w:tcBorders>
              <w:top w:val="nil"/>
              <w:left w:val="nil"/>
              <w:bottom w:val="nil"/>
              <w:right w:val="nil"/>
            </w:tcBorders>
            <w:shd w:val="clear" w:color="auto" w:fill="auto"/>
            <w:noWrap/>
            <w:vAlign w:val="bottom"/>
            <w:hideMark/>
          </w:tcPr>
          <w:p w14:paraId="3C1B5F89" w14:textId="67CE4AE8" w:rsidR="00294EC0" w:rsidRPr="00294EC0" w:rsidRDefault="00294EC0" w:rsidP="00294EC0">
            <w:pPr>
              <w:rPr>
                <w:rFonts w:ascii="Calibri" w:hAnsi="Calibri" w:cs="Calibri"/>
                <w:b/>
                <w:bCs/>
                <w:color w:val="1E3A8A"/>
                <w:sz w:val="22"/>
                <w:szCs w:val="22"/>
                <w:lang w:eastAsia="en-US"/>
              </w:rPr>
            </w:pPr>
            <w:r w:rsidRPr="00294EC0">
              <w:rPr>
                <w:rFonts w:ascii="Calibri" w:hAnsi="Calibri" w:cs="Calibri"/>
                <w:b/>
                <w:bCs/>
                <w:color w:val="1E3A8A"/>
                <w:sz w:val="22"/>
                <w:szCs w:val="22"/>
                <w:lang w:eastAsia="en-US"/>
              </w:rPr>
              <w:t xml:space="preserve">1. Στοιχεία Παραγωγής, Εμπορίου &amp; Κατανάλωσης </w:t>
            </w:r>
            <w:r w:rsidR="006A294B">
              <w:rPr>
                <w:rFonts w:ascii="Calibri" w:hAnsi="Calibri" w:cs="Calibri"/>
                <w:b/>
                <w:bCs/>
                <w:color w:val="1E3A8A"/>
                <w:sz w:val="22"/>
                <w:szCs w:val="22"/>
                <w:lang w:eastAsia="en-US"/>
              </w:rPr>
              <w:br/>
              <w:t xml:space="preserve">     </w:t>
            </w:r>
            <w:r w:rsidRPr="00294EC0">
              <w:rPr>
                <w:rFonts w:ascii="Calibri" w:hAnsi="Calibri" w:cs="Calibri"/>
                <w:b/>
                <w:bCs/>
                <w:color w:val="1E3A8A"/>
                <w:sz w:val="22"/>
                <w:szCs w:val="22"/>
                <w:lang w:eastAsia="en-US"/>
              </w:rPr>
              <w:t xml:space="preserve">(σε χιλ. μετρικούς τόνους - </w:t>
            </w:r>
            <w:proofErr w:type="spellStart"/>
            <w:r w:rsidRPr="00294EC0">
              <w:rPr>
                <w:rFonts w:ascii="Calibri" w:hAnsi="Calibri" w:cs="Calibri"/>
                <w:b/>
                <w:bCs/>
                <w:color w:val="1E3A8A"/>
                <w:sz w:val="22"/>
                <w:szCs w:val="22"/>
                <w:lang w:val="en-US" w:eastAsia="en-US"/>
              </w:rPr>
              <w:t>kt</w:t>
            </w:r>
            <w:proofErr w:type="spellEnd"/>
            <w:r w:rsidRPr="00294EC0">
              <w:rPr>
                <w:rFonts w:ascii="Calibri" w:hAnsi="Calibri" w:cs="Calibri"/>
                <w:b/>
                <w:bCs/>
                <w:color w:val="1E3A8A"/>
                <w:sz w:val="22"/>
                <w:szCs w:val="22"/>
                <w:lang w:eastAsia="en-US"/>
              </w:rPr>
              <w:t>)</w:t>
            </w:r>
          </w:p>
        </w:tc>
        <w:tc>
          <w:tcPr>
            <w:tcW w:w="900" w:type="dxa"/>
            <w:tcBorders>
              <w:top w:val="nil"/>
              <w:left w:val="nil"/>
              <w:bottom w:val="nil"/>
              <w:right w:val="nil"/>
            </w:tcBorders>
            <w:shd w:val="clear" w:color="auto" w:fill="auto"/>
            <w:noWrap/>
            <w:vAlign w:val="bottom"/>
            <w:hideMark/>
          </w:tcPr>
          <w:p w14:paraId="012CDB9F" w14:textId="77777777" w:rsidR="00294EC0" w:rsidRPr="00294EC0" w:rsidRDefault="00294EC0" w:rsidP="00294EC0">
            <w:pPr>
              <w:rPr>
                <w:rFonts w:ascii="Calibri" w:hAnsi="Calibri" w:cs="Calibri"/>
                <w:b/>
                <w:bCs/>
                <w:color w:val="1E3A8A"/>
                <w:sz w:val="22"/>
                <w:szCs w:val="22"/>
                <w:lang w:eastAsia="en-US"/>
              </w:rPr>
            </w:pPr>
          </w:p>
        </w:tc>
        <w:tc>
          <w:tcPr>
            <w:tcW w:w="990" w:type="dxa"/>
            <w:tcBorders>
              <w:top w:val="nil"/>
              <w:left w:val="nil"/>
              <w:bottom w:val="nil"/>
              <w:right w:val="nil"/>
            </w:tcBorders>
            <w:shd w:val="clear" w:color="auto" w:fill="auto"/>
            <w:noWrap/>
            <w:vAlign w:val="bottom"/>
            <w:hideMark/>
          </w:tcPr>
          <w:p w14:paraId="30F215DD" w14:textId="77777777" w:rsidR="00294EC0" w:rsidRPr="00294EC0" w:rsidRDefault="00294EC0" w:rsidP="00294EC0">
            <w:pPr>
              <w:rPr>
                <w:sz w:val="20"/>
                <w:szCs w:val="20"/>
                <w:lang w:eastAsia="en-US"/>
              </w:rPr>
            </w:pPr>
          </w:p>
        </w:tc>
      </w:tr>
      <w:tr w:rsidR="006A294B" w:rsidRPr="00294EC0" w14:paraId="4630D20E" w14:textId="77777777" w:rsidTr="00631981">
        <w:trPr>
          <w:trHeight w:val="559"/>
        </w:trPr>
        <w:tc>
          <w:tcPr>
            <w:tcW w:w="4680" w:type="dxa"/>
            <w:tcBorders>
              <w:top w:val="nil"/>
              <w:left w:val="nil"/>
              <w:bottom w:val="nil"/>
              <w:right w:val="nil"/>
            </w:tcBorders>
            <w:shd w:val="clear" w:color="1E3A8A" w:fill="1E3A8A"/>
            <w:vAlign w:val="center"/>
            <w:hideMark/>
          </w:tcPr>
          <w:p w14:paraId="1F7605D2" w14:textId="77777777" w:rsidR="00294EC0" w:rsidRPr="00294EC0" w:rsidRDefault="00294EC0" w:rsidP="00294EC0">
            <w:pPr>
              <w:rPr>
                <w:rFonts w:ascii="Calibri" w:hAnsi="Calibri" w:cs="Calibri"/>
                <w:b/>
                <w:bCs/>
                <w:color w:val="FFFFFF"/>
                <w:sz w:val="20"/>
                <w:szCs w:val="20"/>
                <w:lang w:val="en-US" w:eastAsia="en-US"/>
              </w:rPr>
            </w:pPr>
            <w:proofErr w:type="spellStart"/>
            <w:r w:rsidRPr="00294EC0">
              <w:rPr>
                <w:rFonts w:ascii="Calibri" w:hAnsi="Calibri" w:cs="Calibri"/>
                <w:b/>
                <w:bCs/>
                <w:color w:val="FFFFFF"/>
                <w:sz w:val="20"/>
                <w:szCs w:val="20"/>
                <w:lang w:val="en-US" w:eastAsia="en-US"/>
              </w:rPr>
              <w:t>Στοιχεί</w:t>
            </w:r>
            <w:proofErr w:type="spellEnd"/>
            <w:r w:rsidRPr="00294EC0">
              <w:rPr>
                <w:rFonts w:ascii="Calibri" w:hAnsi="Calibri" w:cs="Calibri"/>
                <w:b/>
                <w:bCs/>
                <w:color w:val="FFFFFF"/>
                <w:sz w:val="20"/>
                <w:szCs w:val="20"/>
                <w:lang w:val="en-US" w:eastAsia="en-US"/>
              </w:rPr>
              <w:t xml:space="preserve">α </w:t>
            </w:r>
            <w:proofErr w:type="spellStart"/>
            <w:r w:rsidRPr="00294EC0">
              <w:rPr>
                <w:rFonts w:ascii="Calibri" w:hAnsi="Calibri" w:cs="Calibri"/>
                <w:b/>
                <w:bCs/>
                <w:color w:val="FFFFFF"/>
                <w:sz w:val="20"/>
                <w:szCs w:val="20"/>
                <w:lang w:val="en-US" w:eastAsia="en-US"/>
              </w:rPr>
              <w:t>Αγοράς</w:t>
            </w:r>
            <w:proofErr w:type="spellEnd"/>
            <w:r w:rsidRPr="00294EC0">
              <w:rPr>
                <w:rFonts w:ascii="Calibri" w:hAnsi="Calibri" w:cs="Calibri"/>
                <w:b/>
                <w:bCs/>
                <w:color w:val="FFFFFF"/>
                <w:sz w:val="20"/>
                <w:szCs w:val="20"/>
                <w:lang w:val="en-US" w:eastAsia="en-US"/>
              </w:rPr>
              <w:t xml:space="preserve"> (Market Metric)</w:t>
            </w:r>
          </w:p>
        </w:tc>
        <w:tc>
          <w:tcPr>
            <w:tcW w:w="718" w:type="dxa"/>
            <w:tcBorders>
              <w:top w:val="nil"/>
              <w:left w:val="nil"/>
              <w:bottom w:val="nil"/>
              <w:right w:val="nil"/>
            </w:tcBorders>
            <w:shd w:val="clear" w:color="1E3A8A" w:fill="1E3A8A"/>
            <w:vAlign w:val="center"/>
            <w:hideMark/>
          </w:tcPr>
          <w:p w14:paraId="0DC9FDE4"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2021</w:t>
            </w:r>
          </w:p>
        </w:tc>
        <w:tc>
          <w:tcPr>
            <w:tcW w:w="900" w:type="dxa"/>
            <w:tcBorders>
              <w:top w:val="nil"/>
              <w:left w:val="nil"/>
              <w:bottom w:val="nil"/>
              <w:right w:val="nil"/>
            </w:tcBorders>
            <w:shd w:val="clear" w:color="1E3A8A" w:fill="1E3A8A"/>
            <w:vAlign w:val="center"/>
            <w:hideMark/>
          </w:tcPr>
          <w:p w14:paraId="191DDAF0"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2022</w:t>
            </w:r>
          </w:p>
        </w:tc>
        <w:tc>
          <w:tcPr>
            <w:tcW w:w="900" w:type="dxa"/>
            <w:tcBorders>
              <w:top w:val="nil"/>
              <w:left w:val="nil"/>
              <w:bottom w:val="nil"/>
              <w:right w:val="nil"/>
            </w:tcBorders>
            <w:shd w:val="clear" w:color="1E3A8A" w:fill="1E3A8A"/>
            <w:vAlign w:val="center"/>
            <w:hideMark/>
          </w:tcPr>
          <w:p w14:paraId="2964EB20"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2023</w:t>
            </w:r>
          </w:p>
        </w:tc>
        <w:tc>
          <w:tcPr>
            <w:tcW w:w="900" w:type="dxa"/>
            <w:tcBorders>
              <w:top w:val="nil"/>
              <w:left w:val="nil"/>
              <w:bottom w:val="nil"/>
              <w:right w:val="nil"/>
            </w:tcBorders>
            <w:shd w:val="clear" w:color="1E3A8A" w:fill="1E3A8A"/>
            <w:vAlign w:val="center"/>
            <w:hideMark/>
          </w:tcPr>
          <w:p w14:paraId="1F9CFE79"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2024</w:t>
            </w:r>
          </w:p>
        </w:tc>
        <w:tc>
          <w:tcPr>
            <w:tcW w:w="990" w:type="dxa"/>
            <w:tcBorders>
              <w:top w:val="nil"/>
              <w:left w:val="nil"/>
              <w:bottom w:val="nil"/>
              <w:right w:val="nil"/>
            </w:tcBorders>
            <w:shd w:val="clear" w:color="1E3A8A" w:fill="1E3A8A"/>
            <w:vAlign w:val="center"/>
            <w:hideMark/>
          </w:tcPr>
          <w:p w14:paraId="64DB253F" w14:textId="6790B2D6"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 xml:space="preserve">2025 </w:t>
            </w:r>
            <w:proofErr w:type="spellStart"/>
            <w:r w:rsidRPr="00294EC0">
              <w:rPr>
                <w:rFonts w:ascii="Calibri" w:hAnsi="Calibri" w:cs="Calibri"/>
                <w:b/>
                <w:bCs/>
                <w:color w:val="FFFFFF"/>
                <w:sz w:val="20"/>
                <w:szCs w:val="20"/>
                <w:lang w:val="en-US" w:eastAsia="en-US"/>
              </w:rPr>
              <w:t>Εκ</w:t>
            </w:r>
            <w:proofErr w:type="spellEnd"/>
            <w:r w:rsidR="006A294B">
              <w:rPr>
                <w:rFonts w:ascii="Calibri" w:hAnsi="Calibri" w:cs="Calibri"/>
                <w:b/>
                <w:bCs/>
                <w:color w:val="FFFFFF"/>
                <w:sz w:val="20"/>
                <w:szCs w:val="20"/>
                <w:lang w:eastAsia="en-US"/>
              </w:rPr>
              <w:t>τίμηση</w:t>
            </w:r>
          </w:p>
        </w:tc>
      </w:tr>
      <w:tr w:rsidR="006A294B" w:rsidRPr="00294EC0" w14:paraId="33B5E528" w14:textId="77777777" w:rsidTr="00631981">
        <w:trPr>
          <w:trHeight w:val="402"/>
        </w:trPr>
        <w:tc>
          <w:tcPr>
            <w:tcW w:w="4680" w:type="dxa"/>
            <w:tcBorders>
              <w:top w:val="single" w:sz="4" w:space="0" w:color="E2E8F0"/>
              <w:left w:val="single" w:sz="4" w:space="0" w:color="E2E8F0"/>
              <w:bottom w:val="single" w:sz="4" w:space="0" w:color="E2E8F0"/>
              <w:right w:val="single" w:sz="4" w:space="0" w:color="E2E8F0"/>
            </w:tcBorders>
            <w:shd w:val="clear" w:color="auto" w:fill="auto"/>
            <w:noWrap/>
            <w:vAlign w:val="center"/>
            <w:hideMark/>
          </w:tcPr>
          <w:p w14:paraId="59F739B4" w14:textId="77777777" w:rsidR="00294EC0" w:rsidRPr="00294EC0" w:rsidRDefault="00294EC0" w:rsidP="00294EC0">
            <w:pPr>
              <w:rPr>
                <w:rFonts w:ascii="Calibri" w:hAnsi="Calibri" w:cs="Calibri"/>
                <w:color w:val="334155"/>
                <w:sz w:val="20"/>
                <w:szCs w:val="20"/>
                <w:lang w:val="en-US" w:eastAsia="en-US"/>
              </w:rPr>
            </w:pPr>
            <w:proofErr w:type="spellStart"/>
            <w:r w:rsidRPr="00294EC0">
              <w:rPr>
                <w:rFonts w:ascii="Calibri" w:hAnsi="Calibri" w:cs="Calibri"/>
                <w:color w:val="334155"/>
                <w:sz w:val="20"/>
                <w:szCs w:val="20"/>
                <w:lang w:val="en-US" w:eastAsia="en-US"/>
              </w:rPr>
              <w:t>Πρωτογενής</w:t>
            </w:r>
            <w:proofErr w:type="spellEnd"/>
            <w:r w:rsidRPr="00294EC0">
              <w:rPr>
                <w:rFonts w:ascii="Calibri" w:hAnsi="Calibri" w:cs="Calibri"/>
                <w:color w:val="334155"/>
                <w:sz w:val="20"/>
                <w:szCs w:val="20"/>
                <w:lang w:val="en-US" w:eastAsia="en-US"/>
              </w:rPr>
              <w:t xml:space="preserve"> Παρα</w:t>
            </w:r>
            <w:proofErr w:type="spellStart"/>
            <w:r w:rsidRPr="00294EC0">
              <w:rPr>
                <w:rFonts w:ascii="Calibri" w:hAnsi="Calibri" w:cs="Calibri"/>
                <w:color w:val="334155"/>
                <w:sz w:val="20"/>
                <w:szCs w:val="20"/>
                <w:lang w:val="en-US" w:eastAsia="en-US"/>
              </w:rPr>
              <w:t>γωγή</w:t>
            </w:r>
            <w:proofErr w:type="spellEnd"/>
            <w:r w:rsidRPr="00294EC0">
              <w:rPr>
                <w:rFonts w:ascii="Calibri" w:hAnsi="Calibri" w:cs="Calibri"/>
                <w:color w:val="334155"/>
                <w:sz w:val="20"/>
                <w:szCs w:val="20"/>
                <w:lang w:val="en-US" w:eastAsia="en-US"/>
              </w:rPr>
              <w:t xml:space="preserve"> (</w:t>
            </w:r>
            <w:proofErr w:type="spellStart"/>
            <w:r w:rsidRPr="00294EC0">
              <w:rPr>
                <w:rFonts w:ascii="Calibri" w:hAnsi="Calibri" w:cs="Calibri"/>
                <w:color w:val="334155"/>
                <w:sz w:val="20"/>
                <w:szCs w:val="20"/>
                <w:lang w:val="en-US" w:eastAsia="en-US"/>
              </w:rPr>
              <w:t>Χυτήρι</w:t>
            </w:r>
            <w:proofErr w:type="spellEnd"/>
            <w:r w:rsidRPr="00294EC0">
              <w:rPr>
                <w:rFonts w:ascii="Calibri" w:hAnsi="Calibri" w:cs="Calibri"/>
                <w:color w:val="334155"/>
                <w:sz w:val="20"/>
                <w:szCs w:val="20"/>
                <w:lang w:val="en-US" w:eastAsia="en-US"/>
              </w:rPr>
              <w:t>α)</w:t>
            </w:r>
          </w:p>
        </w:tc>
        <w:tc>
          <w:tcPr>
            <w:tcW w:w="718" w:type="dxa"/>
            <w:tcBorders>
              <w:top w:val="single" w:sz="4" w:space="0" w:color="E2E8F0"/>
              <w:left w:val="nil"/>
              <w:bottom w:val="single" w:sz="4" w:space="0" w:color="E2E8F0"/>
              <w:right w:val="single" w:sz="4" w:space="0" w:color="E2E8F0"/>
            </w:tcBorders>
            <w:shd w:val="clear" w:color="auto" w:fill="auto"/>
            <w:noWrap/>
            <w:vAlign w:val="center"/>
            <w:hideMark/>
          </w:tcPr>
          <w:p w14:paraId="7C6D8754"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889</w:t>
            </w:r>
          </w:p>
        </w:tc>
        <w:tc>
          <w:tcPr>
            <w:tcW w:w="900" w:type="dxa"/>
            <w:tcBorders>
              <w:top w:val="single" w:sz="4" w:space="0" w:color="E2E8F0"/>
              <w:left w:val="nil"/>
              <w:bottom w:val="single" w:sz="4" w:space="0" w:color="E2E8F0"/>
              <w:right w:val="single" w:sz="4" w:space="0" w:color="E2E8F0"/>
            </w:tcBorders>
            <w:shd w:val="clear" w:color="auto" w:fill="auto"/>
            <w:noWrap/>
            <w:vAlign w:val="center"/>
            <w:hideMark/>
          </w:tcPr>
          <w:p w14:paraId="10ED92A9"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861</w:t>
            </w:r>
          </w:p>
        </w:tc>
        <w:tc>
          <w:tcPr>
            <w:tcW w:w="900" w:type="dxa"/>
            <w:tcBorders>
              <w:top w:val="single" w:sz="4" w:space="0" w:color="E2E8F0"/>
              <w:left w:val="nil"/>
              <w:bottom w:val="single" w:sz="4" w:space="0" w:color="E2E8F0"/>
              <w:right w:val="single" w:sz="4" w:space="0" w:color="E2E8F0"/>
            </w:tcBorders>
            <w:shd w:val="clear" w:color="auto" w:fill="auto"/>
            <w:noWrap/>
            <w:vAlign w:val="center"/>
            <w:hideMark/>
          </w:tcPr>
          <w:p w14:paraId="05201BAA"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750</w:t>
            </w:r>
          </w:p>
        </w:tc>
        <w:tc>
          <w:tcPr>
            <w:tcW w:w="900" w:type="dxa"/>
            <w:tcBorders>
              <w:top w:val="single" w:sz="4" w:space="0" w:color="E2E8F0"/>
              <w:left w:val="nil"/>
              <w:bottom w:val="single" w:sz="4" w:space="0" w:color="E2E8F0"/>
              <w:right w:val="single" w:sz="4" w:space="0" w:color="E2E8F0"/>
            </w:tcBorders>
            <w:shd w:val="clear" w:color="auto" w:fill="auto"/>
            <w:noWrap/>
            <w:vAlign w:val="center"/>
            <w:hideMark/>
          </w:tcPr>
          <w:p w14:paraId="3BD1FA10"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676</w:t>
            </w:r>
          </w:p>
        </w:tc>
        <w:tc>
          <w:tcPr>
            <w:tcW w:w="990" w:type="dxa"/>
            <w:tcBorders>
              <w:top w:val="single" w:sz="4" w:space="0" w:color="E2E8F0"/>
              <w:left w:val="nil"/>
              <w:bottom w:val="single" w:sz="4" w:space="0" w:color="E2E8F0"/>
              <w:right w:val="single" w:sz="4" w:space="0" w:color="E2E8F0"/>
            </w:tcBorders>
            <w:shd w:val="clear" w:color="auto" w:fill="auto"/>
            <w:noWrap/>
            <w:vAlign w:val="center"/>
            <w:hideMark/>
          </w:tcPr>
          <w:p w14:paraId="0172FF39"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660</w:t>
            </w:r>
          </w:p>
        </w:tc>
      </w:tr>
      <w:tr w:rsidR="006A294B" w:rsidRPr="00294EC0" w14:paraId="355F1088"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F8FAFC" w:fill="F8FAFC"/>
            <w:noWrap/>
            <w:vAlign w:val="center"/>
            <w:hideMark/>
          </w:tcPr>
          <w:p w14:paraId="6424F2E4" w14:textId="77777777" w:rsidR="00294EC0" w:rsidRPr="00294EC0" w:rsidRDefault="00294EC0" w:rsidP="00294EC0">
            <w:pPr>
              <w:rPr>
                <w:rFonts w:ascii="Calibri" w:hAnsi="Calibri" w:cs="Calibri"/>
                <w:color w:val="334155"/>
                <w:sz w:val="20"/>
                <w:szCs w:val="20"/>
                <w:lang w:eastAsia="en-US"/>
              </w:rPr>
            </w:pPr>
            <w:r w:rsidRPr="00294EC0">
              <w:rPr>
                <w:rFonts w:ascii="Calibri" w:hAnsi="Calibri" w:cs="Calibri"/>
                <w:color w:val="334155"/>
                <w:sz w:val="20"/>
                <w:szCs w:val="20"/>
                <w:lang w:eastAsia="en-US"/>
              </w:rPr>
              <w:t xml:space="preserve">Δευτερογενής Παραγωγή — Παλαιά </w:t>
            </w:r>
            <w:proofErr w:type="spellStart"/>
            <w:r w:rsidRPr="00294EC0">
              <w:rPr>
                <w:rFonts w:ascii="Calibri" w:hAnsi="Calibri" w:cs="Calibri"/>
                <w:color w:val="334155"/>
                <w:sz w:val="20"/>
                <w:szCs w:val="20"/>
                <w:lang w:eastAsia="en-US"/>
              </w:rPr>
              <w:t>Σκραπ</w:t>
            </w:r>
            <w:proofErr w:type="spellEnd"/>
            <w:r w:rsidRPr="00294EC0">
              <w:rPr>
                <w:rFonts w:ascii="Calibri" w:hAnsi="Calibri" w:cs="Calibri"/>
                <w:color w:val="334155"/>
                <w:sz w:val="20"/>
                <w:szCs w:val="20"/>
                <w:lang w:eastAsia="en-US"/>
              </w:rPr>
              <w:t xml:space="preserve"> (</w:t>
            </w:r>
            <w:proofErr w:type="spellStart"/>
            <w:r w:rsidRPr="00294EC0">
              <w:rPr>
                <w:rFonts w:ascii="Calibri" w:hAnsi="Calibri" w:cs="Calibri"/>
                <w:color w:val="334155"/>
                <w:sz w:val="20"/>
                <w:szCs w:val="20"/>
                <w:lang w:eastAsia="en-US"/>
              </w:rPr>
              <w:t>Μετακαταναλωτικά</w:t>
            </w:r>
            <w:proofErr w:type="spellEnd"/>
            <w:r w:rsidRPr="00294EC0">
              <w:rPr>
                <w:rFonts w:ascii="Calibri" w:hAnsi="Calibri" w:cs="Calibri"/>
                <w:color w:val="334155"/>
                <w:sz w:val="20"/>
                <w:szCs w:val="20"/>
                <w:lang w:eastAsia="en-US"/>
              </w:rPr>
              <w:t>)</w:t>
            </w:r>
          </w:p>
        </w:tc>
        <w:tc>
          <w:tcPr>
            <w:tcW w:w="718" w:type="dxa"/>
            <w:tcBorders>
              <w:top w:val="nil"/>
              <w:left w:val="nil"/>
              <w:bottom w:val="single" w:sz="4" w:space="0" w:color="E2E8F0"/>
              <w:right w:val="single" w:sz="4" w:space="0" w:color="E2E8F0"/>
            </w:tcBorders>
            <w:shd w:val="clear" w:color="F8FAFC" w:fill="F8FAFC"/>
            <w:noWrap/>
            <w:vAlign w:val="center"/>
            <w:hideMark/>
          </w:tcPr>
          <w:p w14:paraId="7887057B"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1.520</w:t>
            </w:r>
          </w:p>
        </w:tc>
        <w:tc>
          <w:tcPr>
            <w:tcW w:w="900" w:type="dxa"/>
            <w:tcBorders>
              <w:top w:val="nil"/>
              <w:left w:val="nil"/>
              <w:bottom w:val="single" w:sz="4" w:space="0" w:color="E2E8F0"/>
              <w:right w:val="single" w:sz="4" w:space="0" w:color="E2E8F0"/>
            </w:tcBorders>
            <w:shd w:val="clear" w:color="F8FAFC" w:fill="F8FAFC"/>
            <w:noWrap/>
            <w:vAlign w:val="center"/>
            <w:hideMark/>
          </w:tcPr>
          <w:p w14:paraId="6EEA3060"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1.480</w:t>
            </w:r>
          </w:p>
        </w:tc>
        <w:tc>
          <w:tcPr>
            <w:tcW w:w="900" w:type="dxa"/>
            <w:tcBorders>
              <w:top w:val="nil"/>
              <w:left w:val="nil"/>
              <w:bottom w:val="single" w:sz="4" w:space="0" w:color="E2E8F0"/>
              <w:right w:val="single" w:sz="4" w:space="0" w:color="E2E8F0"/>
            </w:tcBorders>
            <w:shd w:val="clear" w:color="F8FAFC" w:fill="F8FAFC"/>
            <w:noWrap/>
            <w:vAlign w:val="center"/>
            <w:hideMark/>
          </w:tcPr>
          <w:p w14:paraId="294EB3E9"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1.560</w:t>
            </w:r>
          </w:p>
        </w:tc>
        <w:tc>
          <w:tcPr>
            <w:tcW w:w="900" w:type="dxa"/>
            <w:tcBorders>
              <w:top w:val="nil"/>
              <w:left w:val="nil"/>
              <w:bottom w:val="single" w:sz="4" w:space="0" w:color="E2E8F0"/>
              <w:right w:val="single" w:sz="4" w:space="0" w:color="E2E8F0"/>
            </w:tcBorders>
            <w:shd w:val="clear" w:color="F8FAFC" w:fill="F8FAFC"/>
            <w:noWrap/>
            <w:vAlign w:val="center"/>
            <w:hideMark/>
          </w:tcPr>
          <w:p w14:paraId="4B58ADD0"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1.560</w:t>
            </w:r>
          </w:p>
        </w:tc>
        <w:tc>
          <w:tcPr>
            <w:tcW w:w="990" w:type="dxa"/>
            <w:tcBorders>
              <w:top w:val="nil"/>
              <w:left w:val="nil"/>
              <w:bottom w:val="single" w:sz="4" w:space="0" w:color="E2E8F0"/>
              <w:right w:val="single" w:sz="4" w:space="0" w:color="E2E8F0"/>
            </w:tcBorders>
            <w:shd w:val="clear" w:color="F8FAFC" w:fill="F8FAFC"/>
            <w:noWrap/>
            <w:vAlign w:val="center"/>
            <w:hideMark/>
          </w:tcPr>
          <w:p w14:paraId="2410D8EF"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1.600</w:t>
            </w:r>
          </w:p>
        </w:tc>
      </w:tr>
      <w:tr w:rsidR="006A294B" w:rsidRPr="00294EC0" w14:paraId="309F0409"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auto" w:fill="auto"/>
            <w:noWrap/>
            <w:vAlign w:val="center"/>
            <w:hideMark/>
          </w:tcPr>
          <w:p w14:paraId="1B0A04BB" w14:textId="77777777" w:rsidR="00294EC0" w:rsidRPr="00294EC0" w:rsidRDefault="00294EC0" w:rsidP="00294EC0">
            <w:pPr>
              <w:rPr>
                <w:rFonts w:ascii="Calibri" w:hAnsi="Calibri" w:cs="Calibri"/>
                <w:color w:val="334155"/>
                <w:sz w:val="20"/>
                <w:szCs w:val="20"/>
                <w:lang w:eastAsia="en-US"/>
              </w:rPr>
            </w:pPr>
            <w:r w:rsidRPr="00294EC0">
              <w:rPr>
                <w:rFonts w:ascii="Calibri" w:hAnsi="Calibri" w:cs="Calibri"/>
                <w:color w:val="334155"/>
                <w:sz w:val="20"/>
                <w:szCs w:val="20"/>
                <w:lang w:eastAsia="en-US"/>
              </w:rPr>
              <w:t xml:space="preserve">Δευτερογενής Παραγωγή — Νέα </w:t>
            </w:r>
            <w:proofErr w:type="spellStart"/>
            <w:r w:rsidRPr="00294EC0">
              <w:rPr>
                <w:rFonts w:ascii="Calibri" w:hAnsi="Calibri" w:cs="Calibri"/>
                <w:color w:val="334155"/>
                <w:sz w:val="20"/>
                <w:szCs w:val="20"/>
                <w:lang w:eastAsia="en-US"/>
              </w:rPr>
              <w:t>Σκραπ</w:t>
            </w:r>
            <w:proofErr w:type="spellEnd"/>
            <w:r w:rsidRPr="00294EC0">
              <w:rPr>
                <w:rFonts w:ascii="Calibri" w:hAnsi="Calibri" w:cs="Calibri"/>
                <w:color w:val="334155"/>
                <w:sz w:val="20"/>
                <w:szCs w:val="20"/>
                <w:lang w:eastAsia="en-US"/>
              </w:rPr>
              <w:t xml:space="preserve"> (Βιομηχανικά)</w:t>
            </w:r>
          </w:p>
        </w:tc>
        <w:tc>
          <w:tcPr>
            <w:tcW w:w="718" w:type="dxa"/>
            <w:tcBorders>
              <w:top w:val="nil"/>
              <w:left w:val="nil"/>
              <w:bottom w:val="single" w:sz="4" w:space="0" w:color="E2E8F0"/>
              <w:right w:val="single" w:sz="4" w:space="0" w:color="E2E8F0"/>
            </w:tcBorders>
            <w:shd w:val="clear" w:color="auto" w:fill="auto"/>
            <w:noWrap/>
            <w:vAlign w:val="center"/>
            <w:hideMark/>
          </w:tcPr>
          <w:p w14:paraId="6A642CCF"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1.780</w:t>
            </w:r>
          </w:p>
        </w:tc>
        <w:tc>
          <w:tcPr>
            <w:tcW w:w="900" w:type="dxa"/>
            <w:tcBorders>
              <w:top w:val="nil"/>
              <w:left w:val="nil"/>
              <w:bottom w:val="single" w:sz="4" w:space="0" w:color="E2E8F0"/>
              <w:right w:val="single" w:sz="4" w:space="0" w:color="E2E8F0"/>
            </w:tcBorders>
            <w:shd w:val="clear" w:color="auto" w:fill="auto"/>
            <w:noWrap/>
            <w:vAlign w:val="center"/>
            <w:hideMark/>
          </w:tcPr>
          <w:p w14:paraId="2017E7DA"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1.920</w:t>
            </w:r>
          </w:p>
        </w:tc>
        <w:tc>
          <w:tcPr>
            <w:tcW w:w="900" w:type="dxa"/>
            <w:tcBorders>
              <w:top w:val="nil"/>
              <w:left w:val="nil"/>
              <w:bottom w:val="single" w:sz="4" w:space="0" w:color="E2E8F0"/>
              <w:right w:val="single" w:sz="4" w:space="0" w:color="E2E8F0"/>
            </w:tcBorders>
            <w:shd w:val="clear" w:color="auto" w:fill="auto"/>
            <w:noWrap/>
            <w:vAlign w:val="center"/>
            <w:hideMark/>
          </w:tcPr>
          <w:p w14:paraId="50266A30"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1.870</w:t>
            </w:r>
          </w:p>
        </w:tc>
        <w:tc>
          <w:tcPr>
            <w:tcW w:w="900" w:type="dxa"/>
            <w:tcBorders>
              <w:top w:val="nil"/>
              <w:left w:val="nil"/>
              <w:bottom w:val="single" w:sz="4" w:space="0" w:color="E2E8F0"/>
              <w:right w:val="single" w:sz="4" w:space="0" w:color="E2E8F0"/>
            </w:tcBorders>
            <w:shd w:val="clear" w:color="auto" w:fill="auto"/>
            <w:noWrap/>
            <w:vAlign w:val="center"/>
            <w:hideMark/>
          </w:tcPr>
          <w:p w14:paraId="6CC4A507"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2.120</w:t>
            </w:r>
          </w:p>
        </w:tc>
        <w:tc>
          <w:tcPr>
            <w:tcW w:w="990" w:type="dxa"/>
            <w:tcBorders>
              <w:top w:val="nil"/>
              <w:left w:val="nil"/>
              <w:bottom w:val="single" w:sz="4" w:space="0" w:color="E2E8F0"/>
              <w:right w:val="single" w:sz="4" w:space="0" w:color="E2E8F0"/>
            </w:tcBorders>
            <w:shd w:val="clear" w:color="auto" w:fill="auto"/>
            <w:noWrap/>
            <w:vAlign w:val="center"/>
            <w:hideMark/>
          </w:tcPr>
          <w:p w14:paraId="4EFBE578"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2.000</w:t>
            </w:r>
          </w:p>
        </w:tc>
      </w:tr>
      <w:tr w:rsidR="006A294B" w:rsidRPr="00294EC0" w14:paraId="068257FA"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F8FAFC" w:fill="F8FAFC"/>
            <w:noWrap/>
            <w:vAlign w:val="center"/>
            <w:hideMark/>
          </w:tcPr>
          <w:p w14:paraId="5F6AA622" w14:textId="77777777" w:rsidR="00294EC0" w:rsidRPr="00294EC0" w:rsidRDefault="00294EC0" w:rsidP="00294EC0">
            <w:pPr>
              <w:rPr>
                <w:rFonts w:ascii="Calibri" w:hAnsi="Calibri" w:cs="Calibri"/>
                <w:b/>
                <w:bCs/>
                <w:color w:val="334155"/>
                <w:sz w:val="20"/>
                <w:szCs w:val="20"/>
                <w:lang w:eastAsia="en-US"/>
              </w:rPr>
            </w:pPr>
            <w:r w:rsidRPr="00294EC0">
              <w:rPr>
                <w:rFonts w:ascii="Calibri" w:hAnsi="Calibri" w:cs="Calibri"/>
                <w:b/>
                <w:bCs/>
                <w:color w:val="334155"/>
                <w:sz w:val="20"/>
                <w:szCs w:val="20"/>
                <w:lang w:eastAsia="en-US"/>
              </w:rPr>
              <w:t xml:space="preserve">Συνολική Εγχώρια Παραγωγή (Πρωτογενής + </w:t>
            </w:r>
            <w:proofErr w:type="spellStart"/>
            <w:r w:rsidRPr="00294EC0">
              <w:rPr>
                <w:rFonts w:ascii="Calibri" w:hAnsi="Calibri" w:cs="Calibri"/>
                <w:b/>
                <w:bCs/>
                <w:color w:val="334155"/>
                <w:sz w:val="20"/>
                <w:szCs w:val="20"/>
                <w:lang w:eastAsia="en-US"/>
              </w:rPr>
              <w:t>Σκραπ</w:t>
            </w:r>
            <w:proofErr w:type="spellEnd"/>
            <w:r w:rsidRPr="00294EC0">
              <w:rPr>
                <w:rFonts w:ascii="Calibri" w:hAnsi="Calibri" w:cs="Calibri"/>
                <w:b/>
                <w:bCs/>
                <w:color w:val="334155"/>
                <w:sz w:val="20"/>
                <w:szCs w:val="20"/>
                <w:lang w:eastAsia="en-US"/>
              </w:rPr>
              <w:t>)</w:t>
            </w:r>
          </w:p>
        </w:tc>
        <w:tc>
          <w:tcPr>
            <w:tcW w:w="718" w:type="dxa"/>
            <w:tcBorders>
              <w:top w:val="nil"/>
              <w:left w:val="nil"/>
              <w:bottom w:val="single" w:sz="4" w:space="0" w:color="E2E8F0"/>
              <w:right w:val="single" w:sz="4" w:space="0" w:color="E2E8F0"/>
            </w:tcBorders>
            <w:shd w:val="clear" w:color="F8FAFC" w:fill="F8FAFC"/>
            <w:noWrap/>
            <w:vAlign w:val="center"/>
            <w:hideMark/>
          </w:tcPr>
          <w:p w14:paraId="19745087"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4.189</w:t>
            </w:r>
          </w:p>
        </w:tc>
        <w:tc>
          <w:tcPr>
            <w:tcW w:w="900" w:type="dxa"/>
            <w:tcBorders>
              <w:top w:val="nil"/>
              <w:left w:val="nil"/>
              <w:bottom w:val="single" w:sz="4" w:space="0" w:color="E2E8F0"/>
              <w:right w:val="single" w:sz="4" w:space="0" w:color="E2E8F0"/>
            </w:tcBorders>
            <w:shd w:val="clear" w:color="F8FAFC" w:fill="F8FAFC"/>
            <w:noWrap/>
            <w:vAlign w:val="center"/>
            <w:hideMark/>
          </w:tcPr>
          <w:p w14:paraId="1E420D48"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4.261</w:t>
            </w:r>
          </w:p>
        </w:tc>
        <w:tc>
          <w:tcPr>
            <w:tcW w:w="900" w:type="dxa"/>
            <w:tcBorders>
              <w:top w:val="nil"/>
              <w:left w:val="nil"/>
              <w:bottom w:val="single" w:sz="4" w:space="0" w:color="E2E8F0"/>
              <w:right w:val="single" w:sz="4" w:space="0" w:color="E2E8F0"/>
            </w:tcBorders>
            <w:shd w:val="clear" w:color="F8FAFC" w:fill="F8FAFC"/>
            <w:noWrap/>
            <w:vAlign w:val="center"/>
            <w:hideMark/>
          </w:tcPr>
          <w:p w14:paraId="67044C82"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4.180</w:t>
            </w:r>
          </w:p>
        </w:tc>
        <w:tc>
          <w:tcPr>
            <w:tcW w:w="900" w:type="dxa"/>
            <w:tcBorders>
              <w:top w:val="nil"/>
              <w:left w:val="nil"/>
              <w:bottom w:val="single" w:sz="4" w:space="0" w:color="E2E8F0"/>
              <w:right w:val="single" w:sz="4" w:space="0" w:color="E2E8F0"/>
            </w:tcBorders>
            <w:shd w:val="clear" w:color="F8FAFC" w:fill="F8FAFC"/>
            <w:noWrap/>
            <w:vAlign w:val="center"/>
            <w:hideMark/>
          </w:tcPr>
          <w:p w14:paraId="2AF810C3"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4.356</w:t>
            </w:r>
          </w:p>
        </w:tc>
        <w:tc>
          <w:tcPr>
            <w:tcW w:w="990" w:type="dxa"/>
            <w:tcBorders>
              <w:top w:val="nil"/>
              <w:left w:val="nil"/>
              <w:bottom w:val="single" w:sz="4" w:space="0" w:color="E2E8F0"/>
              <w:right w:val="single" w:sz="4" w:space="0" w:color="E2E8F0"/>
            </w:tcBorders>
            <w:shd w:val="clear" w:color="F8FAFC" w:fill="F8FAFC"/>
            <w:noWrap/>
            <w:vAlign w:val="center"/>
            <w:hideMark/>
          </w:tcPr>
          <w:p w14:paraId="09A7D425"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4.260</w:t>
            </w:r>
          </w:p>
        </w:tc>
      </w:tr>
      <w:tr w:rsidR="006A294B" w:rsidRPr="00294EC0" w14:paraId="11FDDEF3"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auto" w:fill="auto"/>
            <w:noWrap/>
            <w:vAlign w:val="center"/>
            <w:hideMark/>
          </w:tcPr>
          <w:p w14:paraId="5175BEB4" w14:textId="77777777" w:rsidR="00294EC0" w:rsidRPr="00294EC0" w:rsidRDefault="00294EC0" w:rsidP="00294EC0">
            <w:pPr>
              <w:rPr>
                <w:rFonts w:ascii="Calibri" w:hAnsi="Calibri" w:cs="Calibri"/>
                <w:color w:val="334155"/>
                <w:sz w:val="20"/>
                <w:szCs w:val="20"/>
                <w:lang w:eastAsia="en-US"/>
              </w:rPr>
            </w:pPr>
            <w:r w:rsidRPr="00294EC0">
              <w:rPr>
                <w:rFonts w:ascii="Calibri" w:hAnsi="Calibri" w:cs="Calibri"/>
                <w:color w:val="334155"/>
                <w:sz w:val="20"/>
                <w:szCs w:val="20"/>
                <w:lang w:eastAsia="en-US"/>
              </w:rPr>
              <w:t>Εισαγωγές για Κατανάλωση (Ακατέργαστα &amp; Ημιτελή)</w:t>
            </w:r>
          </w:p>
        </w:tc>
        <w:tc>
          <w:tcPr>
            <w:tcW w:w="718" w:type="dxa"/>
            <w:tcBorders>
              <w:top w:val="nil"/>
              <w:left w:val="nil"/>
              <w:bottom w:val="single" w:sz="4" w:space="0" w:color="E2E8F0"/>
              <w:right w:val="single" w:sz="4" w:space="0" w:color="E2E8F0"/>
            </w:tcBorders>
            <w:shd w:val="clear" w:color="auto" w:fill="auto"/>
            <w:noWrap/>
            <w:vAlign w:val="center"/>
            <w:hideMark/>
          </w:tcPr>
          <w:p w14:paraId="2D21D1AA"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4.940</w:t>
            </w:r>
          </w:p>
        </w:tc>
        <w:tc>
          <w:tcPr>
            <w:tcW w:w="900" w:type="dxa"/>
            <w:tcBorders>
              <w:top w:val="nil"/>
              <w:left w:val="nil"/>
              <w:bottom w:val="single" w:sz="4" w:space="0" w:color="E2E8F0"/>
              <w:right w:val="single" w:sz="4" w:space="0" w:color="E2E8F0"/>
            </w:tcBorders>
            <w:shd w:val="clear" w:color="auto" w:fill="auto"/>
            <w:noWrap/>
            <w:vAlign w:val="center"/>
            <w:hideMark/>
          </w:tcPr>
          <w:p w14:paraId="05752B2C"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5.730</w:t>
            </w:r>
          </w:p>
        </w:tc>
        <w:tc>
          <w:tcPr>
            <w:tcW w:w="900" w:type="dxa"/>
            <w:tcBorders>
              <w:top w:val="nil"/>
              <w:left w:val="nil"/>
              <w:bottom w:val="single" w:sz="4" w:space="0" w:color="E2E8F0"/>
              <w:right w:val="single" w:sz="4" w:space="0" w:color="E2E8F0"/>
            </w:tcBorders>
            <w:shd w:val="clear" w:color="auto" w:fill="auto"/>
            <w:noWrap/>
            <w:vAlign w:val="center"/>
            <w:hideMark/>
          </w:tcPr>
          <w:p w14:paraId="7B05E43D"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4.900</w:t>
            </w:r>
          </w:p>
        </w:tc>
        <w:tc>
          <w:tcPr>
            <w:tcW w:w="900" w:type="dxa"/>
            <w:tcBorders>
              <w:top w:val="nil"/>
              <w:left w:val="nil"/>
              <w:bottom w:val="single" w:sz="4" w:space="0" w:color="E2E8F0"/>
              <w:right w:val="single" w:sz="4" w:space="0" w:color="E2E8F0"/>
            </w:tcBorders>
            <w:shd w:val="clear" w:color="auto" w:fill="auto"/>
            <w:noWrap/>
            <w:vAlign w:val="center"/>
            <w:hideMark/>
          </w:tcPr>
          <w:p w14:paraId="2C11ED46"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4.840</w:t>
            </w:r>
          </w:p>
        </w:tc>
        <w:tc>
          <w:tcPr>
            <w:tcW w:w="990" w:type="dxa"/>
            <w:tcBorders>
              <w:top w:val="nil"/>
              <w:left w:val="nil"/>
              <w:bottom w:val="single" w:sz="4" w:space="0" w:color="E2E8F0"/>
              <w:right w:val="single" w:sz="4" w:space="0" w:color="E2E8F0"/>
            </w:tcBorders>
            <w:shd w:val="clear" w:color="auto" w:fill="auto"/>
            <w:noWrap/>
            <w:vAlign w:val="center"/>
            <w:hideMark/>
          </w:tcPr>
          <w:p w14:paraId="46C86CAC"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4.400</w:t>
            </w:r>
          </w:p>
        </w:tc>
      </w:tr>
      <w:tr w:rsidR="006A294B" w:rsidRPr="00294EC0" w14:paraId="53F83B9E"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F8FAFC" w:fill="F8FAFC"/>
            <w:noWrap/>
            <w:vAlign w:val="center"/>
            <w:hideMark/>
          </w:tcPr>
          <w:p w14:paraId="535EC94C" w14:textId="77777777" w:rsidR="00294EC0" w:rsidRPr="00294EC0" w:rsidRDefault="00294EC0" w:rsidP="00294EC0">
            <w:pPr>
              <w:rPr>
                <w:rFonts w:ascii="Calibri" w:hAnsi="Calibri" w:cs="Calibri"/>
                <w:color w:val="334155"/>
                <w:sz w:val="20"/>
                <w:szCs w:val="20"/>
                <w:lang w:val="en-US" w:eastAsia="en-US"/>
              </w:rPr>
            </w:pPr>
            <w:proofErr w:type="spellStart"/>
            <w:r w:rsidRPr="00294EC0">
              <w:rPr>
                <w:rFonts w:ascii="Calibri" w:hAnsi="Calibri" w:cs="Calibri"/>
                <w:color w:val="334155"/>
                <w:sz w:val="20"/>
                <w:szCs w:val="20"/>
                <w:lang w:val="en-US" w:eastAsia="en-US"/>
              </w:rPr>
              <w:t>Εισ</w:t>
            </w:r>
            <w:proofErr w:type="spellEnd"/>
            <w:r w:rsidRPr="00294EC0">
              <w:rPr>
                <w:rFonts w:ascii="Calibri" w:hAnsi="Calibri" w:cs="Calibri"/>
                <w:color w:val="334155"/>
                <w:sz w:val="20"/>
                <w:szCs w:val="20"/>
                <w:lang w:val="en-US" w:eastAsia="en-US"/>
              </w:rPr>
              <w:t xml:space="preserve">αγωγές </w:t>
            </w:r>
            <w:proofErr w:type="spellStart"/>
            <w:r w:rsidRPr="00294EC0">
              <w:rPr>
                <w:rFonts w:ascii="Calibri" w:hAnsi="Calibri" w:cs="Calibri"/>
                <w:color w:val="334155"/>
                <w:sz w:val="20"/>
                <w:szCs w:val="20"/>
                <w:lang w:val="en-US" w:eastAsia="en-US"/>
              </w:rPr>
              <w:t>γι</w:t>
            </w:r>
            <w:proofErr w:type="spellEnd"/>
            <w:r w:rsidRPr="00294EC0">
              <w:rPr>
                <w:rFonts w:ascii="Calibri" w:hAnsi="Calibri" w:cs="Calibri"/>
                <w:color w:val="334155"/>
                <w:sz w:val="20"/>
                <w:szCs w:val="20"/>
                <w:lang w:val="en-US" w:eastAsia="en-US"/>
              </w:rPr>
              <w:t>α Κατα</w:t>
            </w:r>
            <w:proofErr w:type="spellStart"/>
            <w:r w:rsidRPr="00294EC0">
              <w:rPr>
                <w:rFonts w:ascii="Calibri" w:hAnsi="Calibri" w:cs="Calibri"/>
                <w:color w:val="334155"/>
                <w:sz w:val="20"/>
                <w:szCs w:val="20"/>
                <w:lang w:val="en-US" w:eastAsia="en-US"/>
              </w:rPr>
              <w:t>νάλωση</w:t>
            </w:r>
            <w:proofErr w:type="spellEnd"/>
            <w:r w:rsidRPr="00294EC0">
              <w:rPr>
                <w:rFonts w:ascii="Calibri" w:hAnsi="Calibri" w:cs="Calibri"/>
                <w:color w:val="334155"/>
                <w:sz w:val="20"/>
                <w:szCs w:val="20"/>
                <w:lang w:val="en-US" w:eastAsia="en-US"/>
              </w:rPr>
              <w:t xml:space="preserve"> (</w:t>
            </w:r>
            <w:proofErr w:type="spellStart"/>
            <w:r w:rsidRPr="00294EC0">
              <w:rPr>
                <w:rFonts w:ascii="Calibri" w:hAnsi="Calibri" w:cs="Calibri"/>
                <w:color w:val="334155"/>
                <w:sz w:val="20"/>
                <w:szCs w:val="20"/>
                <w:lang w:val="en-US" w:eastAsia="en-US"/>
              </w:rPr>
              <w:t>Σκρ</w:t>
            </w:r>
            <w:proofErr w:type="spellEnd"/>
            <w:r w:rsidRPr="00294EC0">
              <w:rPr>
                <w:rFonts w:ascii="Calibri" w:hAnsi="Calibri" w:cs="Calibri"/>
                <w:color w:val="334155"/>
                <w:sz w:val="20"/>
                <w:szCs w:val="20"/>
                <w:lang w:val="en-US" w:eastAsia="en-US"/>
              </w:rPr>
              <w:t>απ)</w:t>
            </w:r>
          </w:p>
        </w:tc>
        <w:tc>
          <w:tcPr>
            <w:tcW w:w="718" w:type="dxa"/>
            <w:tcBorders>
              <w:top w:val="nil"/>
              <w:left w:val="nil"/>
              <w:bottom w:val="single" w:sz="4" w:space="0" w:color="E2E8F0"/>
              <w:right w:val="single" w:sz="4" w:space="0" w:color="E2E8F0"/>
            </w:tcBorders>
            <w:shd w:val="clear" w:color="F8FAFC" w:fill="F8FAFC"/>
            <w:noWrap/>
            <w:vAlign w:val="center"/>
            <w:hideMark/>
          </w:tcPr>
          <w:p w14:paraId="765D4B36"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679</w:t>
            </w:r>
          </w:p>
        </w:tc>
        <w:tc>
          <w:tcPr>
            <w:tcW w:w="900" w:type="dxa"/>
            <w:tcBorders>
              <w:top w:val="nil"/>
              <w:left w:val="nil"/>
              <w:bottom w:val="single" w:sz="4" w:space="0" w:color="E2E8F0"/>
              <w:right w:val="single" w:sz="4" w:space="0" w:color="E2E8F0"/>
            </w:tcBorders>
            <w:shd w:val="clear" w:color="F8FAFC" w:fill="F8FAFC"/>
            <w:noWrap/>
            <w:vAlign w:val="center"/>
            <w:hideMark/>
          </w:tcPr>
          <w:p w14:paraId="741B5851"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685</w:t>
            </w:r>
          </w:p>
        </w:tc>
        <w:tc>
          <w:tcPr>
            <w:tcW w:w="900" w:type="dxa"/>
            <w:tcBorders>
              <w:top w:val="nil"/>
              <w:left w:val="nil"/>
              <w:bottom w:val="single" w:sz="4" w:space="0" w:color="E2E8F0"/>
              <w:right w:val="single" w:sz="4" w:space="0" w:color="E2E8F0"/>
            </w:tcBorders>
            <w:shd w:val="clear" w:color="F8FAFC" w:fill="F8FAFC"/>
            <w:noWrap/>
            <w:vAlign w:val="center"/>
            <w:hideMark/>
          </w:tcPr>
          <w:p w14:paraId="58180573"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677</w:t>
            </w:r>
          </w:p>
        </w:tc>
        <w:tc>
          <w:tcPr>
            <w:tcW w:w="900" w:type="dxa"/>
            <w:tcBorders>
              <w:top w:val="nil"/>
              <w:left w:val="nil"/>
              <w:bottom w:val="single" w:sz="4" w:space="0" w:color="E2E8F0"/>
              <w:right w:val="single" w:sz="4" w:space="0" w:color="E2E8F0"/>
            </w:tcBorders>
            <w:shd w:val="clear" w:color="F8FAFC" w:fill="F8FAFC"/>
            <w:noWrap/>
            <w:vAlign w:val="center"/>
            <w:hideMark/>
          </w:tcPr>
          <w:p w14:paraId="2C95E784"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700</w:t>
            </w:r>
          </w:p>
        </w:tc>
        <w:tc>
          <w:tcPr>
            <w:tcW w:w="990" w:type="dxa"/>
            <w:tcBorders>
              <w:top w:val="nil"/>
              <w:left w:val="nil"/>
              <w:bottom w:val="single" w:sz="4" w:space="0" w:color="E2E8F0"/>
              <w:right w:val="single" w:sz="4" w:space="0" w:color="E2E8F0"/>
            </w:tcBorders>
            <w:shd w:val="clear" w:color="F8FAFC" w:fill="F8FAFC"/>
            <w:noWrap/>
            <w:vAlign w:val="center"/>
            <w:hideMark/>
          </w:tcPr>
          <w:p w14:paraId="0DDF8B86"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890</w:t>
            </w:r>
          </w:p>
        </w:tc>
      </w:tr>
      <w:tr w:rsidR="006A294B" w:rsidRPr="00294EC0" w14:paraId="130300AF"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auto" w:fill="auto"/>
            <w:noWrap/>
            <w:vAlign w:val="center"/>
            <w:hideMark/>
          </w:tcPr>
          <w:p w14:paraId="7513EF1E" w14:textId="77777777" w:rsidR="00294EC0" w:rsidRPr="00294EC0" w:rsidRDefault="00294EC0" w:rsidP="00294EC0">
            <w:pPr>
              <w:rPr>
                <w:rFonts w:ascii="Calibri" w:hAnsi="Calibri" w:cs="Calibri"/>
                <w:color w:val="334155"/>
                <w:sz w:val="20"/>
                <w:szCs w:val="20"/>
                <w:lang w:val="en-US" w:eastAsia="en-US"/>
              </w:rPr>
            </w:pPr>
            <w:proofErr w:type="spellStart"/>
            <w:r w:rsidRPr="00294EC0">
              <w:rPr>
                <w:rFonts w:ascii="Calibri" w:hAnsi="Calibri" w:cs="Calibri"/>
                <w:color w:val="334155"/>
                <w:sz w:val="20"/>
                <w:szCs w:val="20"/>
                <w:lang w:val="en-US" w:eastAsia="en-US"/>
              </w:rPr>
              <w:t>Εξ</w:t>
            </w:r>
            <w:proofErr w:type="spellEnd"/>
            <w:r w:rsidRPr="00294EC0">
              <w:rPr>
                <w:rFonts w:ascii="Calibri" w:hAnsi="Calibri" w:cs="Calibri"/>
                <w:color w:val="334155"/>
                <w:sz w:val="20"/>
                <w:szCs w:val="20"/>
                <w:lang w:val="en-US" w:eastAsia="en-US"/>
              </w:rPr>
              <w:t>αγωγές (</w:t>
            </w:r>
            <w:proofErr w:type="spellStart"/>
            <w:r w:rsidRPr="00294EC0">
              <w:rPr>
                <w:rFonts w:ascii="Calibri" w:hAnsi="Calibri" w:cs="Calibri"/>
                <w:color w:val="334155"/>
                <w:sz w:val="20"/>
                <w:szCs w:val="20"/>
                <w:lang w:val="en-US" w:eastAsia="en-US"/>
              </w:rPr>
              <w:t>Ακ</w:t>
            </w:r>
            <w:proofErr w:type="spellEnd"/>
            <w:r w:rsidRPr="00294EC0">
              <w:rPr>
                <w:rFonts w:ascii="Calibri" w:hAnsi="Calibri" w:cs="Calibri"/>
                <w:color w:val="334155"/>
                <w:sz w:val="20"/>
                <w:szCs w:val="20"/>
                <w:lang w:val="en-US" w:eastAsia="en-US"/>
              </w:rPr>
              <w:t xml:space="preserve">ατέργαστα &amp; </w:t>
            </w:r>
            <w:proofErr w:type="spellStart"/>
            <w:r w:rsidRPr="00294EC0">
              <w:rPr>
                <w:rFonts w:ascii="Calibri" w:hAnsi="Calibri" w:cs="Calibri"/>
                <w:color w:val="334155"/>
                <w:sz w:val="20"/>
                <w:szCs w:val="20"/>
                <w:lang w:val="en-US" w:eastAsia="en-US"/>
              </w:rPr>
              <w:t>Ημιτελή</w:t>
            </w:r>
            <w:proofErr w:type="spellEnd"/>
            <w:r w:rsidRPr="00294EC0">
              <w:rPr>
                <w:rFonts w:ascii="Calibri" w:hAnsi="Calibri" w:cs="Calibri"/>
                <w:color w:val="334155"/>
                <w:sz w:val="20"/>
                <w:szCs w:val="20"/>
                <w:lang w:val="en-US" w:eastAsia="en-US"/>
              </w:rPr>
              <w:t>)</w:t>
            </w:r>
          </w:p>
        </w:tc>
        <w:tc>
          <w:tcPr>
            <w:tcW w:w="718" w:type="dxa"/>
            <w:tcBorders>
              <w:top w:val="nil"/>
              <w:left w:val="nil"/>
              <w:bottom w:val="single" w:sz="4" w:space="0" w:color="E2E8F0"/>
              <w:right w:val="single" w:sz="4" w:space="0" w:color="E2E8F0"/>
            </w:tcBorders>
            <w:shd w:val="clear" w:color="auto" w:fill="auto"/>
            <w:noWrap/>
            <w:vAlign w:val="center"/>
            <w:hideMark/>
          </w:tcPr>
          <w:p w14:paraId="18C9401F"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900</w:t>
            </w:r>
          </w:p>
        </w:tc>
        <w:tc>
          <w:tcPr>
            <w:tcW w:w="900" w:type="dxa"/>
            <w:tcBorders>
              <w:top w:val="nil"/>
              <w:left w:val="nil"/>
              <w:bottom w:val="single" w:sz="4" w:space="0" w:color="E2E8F0"/>
              <w:right w:val="single" w:sz="4" w:space="0" w:color="E2E8F0"/>
            </w:tcBorders>
            <w:shd w:val="clear" w:color="auto" w:fill="auto"/>
            <w:noWrap/>
            <w:vAlign w:val="center"/>
            <w:hideMark/>
          </w:tcPr>
          <w:p w14:paraId="7BADA03A"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1.040</w:t>
            </w:r>
          </w:p>
        </w:tc>
        <w:tc>
          <w:tcPr>
            <w:tcW w:w="900" w:type="dxa"/>
            <w:tcBorders>
              <w:top w:val="nil"/>
              <w:left w:val="nil"/>
              <w:bottom w:val="single" w:sz="4" w:space="0" w:color="E2E8F0"/>
              <w:right w:val="single" w:sz="4" w:space="0" w:color="E2E8F0"/>
            </w:tcBorders>
            <w:shd w:val="clear" w:color="auto" w:fill="auto"/>
            <w:noWrap/>
            <w:vAlign w:val="center"/>
            <w:hideMark/>
          </w:tcPr>
          <w:p w14:paraId="4EE8CF66"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1.240</w:t>
            </w:r>
          </w:p>
        </w:tc>
        <w:tc>
          <w:tcPr>
            <w:tcW w:w="900" w:type="dxa"/>
            <w:tcBorders>
              <w:top w:val="nil"/>
              <w:left w:val="nil"/>
              <w:bottom w:val="single" w:sz="4" w:space="0" w:color="E2E8F0"/>
              <w:right w:val="single" w:sz="4" w:space="0" w:color="E2E8F0"/>
            </w:tcBorders>
            <w:shd w:val="clear" w:color="auto" w:fill="auto"/>
            <w:noWrap/>
            <w:vAlign w:val="center"/>
            <w:hideMark/>
          </w:tcPr>
          <w:p w14:paraId="54695F7C"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1.360</w:t>
            </w:r>
          </w:p>
        </w:tc>
        <w:tc>
          <w:tcPr>
            <w:tcW w:w="990" w:type="dxa"/>
            <w:tcBorders>
              <w:top w:val="nil"/>
              <w:left w:val="nil"/>
              <w:bottom w:val="single" w:sz="4" w:space="0" w:color="E2E8F0"/>
              <w:right w:val="single" w:sz="4" w:space="0" w:color="E2E8F0"/>
            </w:tcBorders>
            <w:shd w:val="clear" w:color="auto" w:fill="auto"/>
            <w:noWrap/>
            <w:vAlign w:val="center"/>
            <w:hideMark/>
          </w:tcPr>
          <w:p w14:paraId="6980F34F"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890</w:t>
            </w:r>
          </w:p>
        </w:tc>
      </w:tr>
      <w:tr w:rsidR="006A294B" w:rsidRPr="00294EC0" w14:paraId="7EAB51B6"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F8FAFC" w:fill="F8FAFC"/>
            <w:noWrap/>
            <w:vAlign w:val="center"/>
            <w:hideMark/>
          </w:tcPr>
          <w:p w14:paraId="753DEB06" w14:textId="77777777" w:rsidR="00294EC0" w:rsidRPr="00294EC0" w:rsidRDefault="00294EC0" w:rsidP="00294EC0">
            <w:pPr>
              <w:rPr>
                <w:rFonts w:ascii="Calibri" w:hAnsi="Calibri" w:cs="Calibri"/>
                <w:color w:val="334155"/>
                <w:sz w:val="20"/>
                <w:szCs w:val="20"/>
                <w:lang w:val="en-US" w:eastAsia="en-US"/>
              </w:rPr>
            </w:pPr>
            <w:proofErr w:type="spellStart"/>
            <w:r w:rsidRPr="00294EC0">
              <w:rPr>
                <w:rFonts w:ascii="Calibri" w:hAnsi="Calibri" w:cs="Calibri"/>
                <w:color w:val="334155"/>
                <w:sz w:val="20"/>
                <w:szCs w:val="20"/>
                <w:lang w:val="en-US" w:eastAsia="en-US"/>
              </w:rPr>
              <w:t>Εξ</w:t>
            </w:r>
            <w:proofErr w:type="spellEnd"/>
            <w:r w:rsidRPr="00294EC0">
              <w:rPr>
                <w:rFonts w:ascii="Calibri" w:hAnsi="Calibri" w:cs="Calibri"/>
                <w:color w:val="334155"/>
                <w:sz w:val="20"/>
                <w:szCs w:val="20"/>
                <w:lang w:val="en-US" w:eastAsia="en-US"/>
              </w:rPr>
              <w:t>αγωγές (</w:t>
            </w:r>
            <w:proofErr w:type="spellStart"/>
            <w:r w:rsidRPr="00294EC0">
              <w:rPr>
                <w:rFonts w:ascii="Calibri" w:hAnsi="Calibri" w:cs="Calibri"/>
                <w:color w:val="334155"/>
                <w:sz w:val="20"/>
                <w:szCs w:val="20"/>
                <w:lang w:val="en-US" w:eastAsia="en-US"/>
              </w:rPr>
              <w:t>Σκρ</w:t>
            </w:r>
            <w:proofErr w:type="spellEnd"/>
            <w:r w:rsidRPr="00294EC0">
              <w:rPr>
                <w:rFonts w:ascii="Calibri" w:hAnsi="Calibri" w:cs="Calibri"/>
                <w:color w:val="334155"/>
                <w:sz w:val="20"/>
                <w:szCs w:val="20"/>
                <w:lang w:val="en-US" w:eastAsia="en-US"/>
              </w:rPr>
              <w:t>απ)</w:t>
            </w:r>
          </w:p>
        </w:tc>
        <w:tc>
          <w:tcPr>
            <w:tcW w:w="718" w:type="dxa"/>
            <w:tcBorders>
              <w:top w:val="nil"/>
              <w:left w:val="nil"/>
              <w:bottom w:val="single" w:sz="4" w:space="0" w:color="E2E8F0"/>
              <w:right w:val="single" w:sz="4" w:space="0" w:color="E2E8F0"/>
            </w:tcBorders>
            <w:shd w:val="clear" w:color="F8FAFC" w:fill="F8FAFC"/>
            <w:noWrap/>
            <w:vAlign w:val="center"/>
            <w:hideMark/>
          </w:tcPr>
          <w:p w14:paraId="636E40E2"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1.930</w:t>
            </w:r>
          </w:p>
        </w:tc>
        <w:tc>
          <w:tcPr>
            <w:tcW w:w="900" w:type="dxa"/>
            <w:tcBorders>
              <w:top w:val="nil"/>
              <w:left w:val="nil"/>
              <w:bottom w:val="single" w:sz="4" w:space="0" w:color="E2E8F0"/>
              <w:right w:val="single" w:sz="4" w:space="0" w:color="E2E8F0"/>
            </w:tcBorders>
            <w:shd w:val="clear" w:color="F8FAFC" w:fill="F8FAFC"/>
            <w:noWrap/>
            <w:vAlign w:val="center"/>
            <w:hideMark/>
          </w:tcPr>
          <w:p w14:paraId="17BC1A1C"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1.720</w:t>
            </w:r>
          </w:p>
        </w:tc>
        <w:tc>
          <w:tcPr>
            <w:tcW w:w="900" w:type="dxa"/>
            <w:tcBorders>
              <w:top w:val="nil"/>
              <w:left w:val="nil"/>
              <w:bottom w:val="single" w:sz="4" w:space="0" w:color="E2E8F0"/>
              <w:right w:val="single" w:sz="4" w:space="0" w:color="E2E8F0"/>
            </w:tcBorders>
            <w:shd w:val="clear" w:color="F8FAFC" w:fill="F8FAFC"/>
            <w:noWrap/>
            <w:vAlign w:val="center"/>
            <w:hideMark/>
          </w:tcPr>
          <w:p w14:paraId="26426F40"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1.780</w:t>
            </w:r>
          </w:p>
        </w:tc>
        <w:tc>
          <w:tcPr>
            <w:tcW w:w="900" w:type="dxa"/>
            <w:tcBorders>
              <w:top w:val="nil"/>
              <w:left w:val="nil"/>
              <w:bottom w:val="single" w:sz="4" w:space="0" w:color="E2E8F0"/>
              <w:right w:val="single" w:sz="4" w:space="0" w:color="E2E8F0"/>
            </w:tcBorders>
            <w:shd w:val="clear" w:color="F8FAFC" w:fill="F8FAFC"/>
            <w:noWrap/>
            <w:vAlign w:val="center"/>
            <w:hideMark/>
          </w:tcPr>
          <w:p w14:paraId="5DB2C43D"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2.100</w:t>
            </w:r>
          </w:p>
        </w:tc>
        <w:tc>
          <w:tcPr>
            <w:tcW w:w="990" w:type="dxa"/>
            <w:tcBorders>
              <w:top w:val="nil"/>
              <w:left w:val="nil"/>
              <w:bottom w:val="single" w:sz="4" w:space="0" w:color="E2E8F0"/>
              <w:right w:val="single" w:sz="4" w:space="0" w:color="E2E8F0"/>
            </w:tcBorders>
            <w:shd w:val="clear" w:color="F8FAFC" w:fill="F8FAFC"/>
            <w:noWrap/>
            <w:vAlign w:val="center"/>
            <w:hideMark/>
          </w:tcPr>
          <w:p w14:paraId="2E1F37C5"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2.200</w:t>
            </w:r>
          </w:p>
        </w:tc>
      </w:tr>
      <w:tr w:rsidR="006A294B" w:rsidRPr="00294EC0" w14:paraId="0896DAAC"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auto" w:fill="auto"/>
            <w:noWrap/>
            <w:vAlign w:val="center"/>
            <w:hideMark/>
          </w:tcPr>
          <w:p w14:paraId="0D6AA875" w14:textId="77777777" w:rsidR="00294EC0" w:rsidRPr="00294EC0" w:rsidRDefault="00294EC0" w:rsidP="00294EC0">
            <w:pPr>
              <w:rPr>
                <w:rFonts w:ascii="Calibri" w:hAnsi="Calibri" w:cs="Calibri"/>
                <w:color w:val="334155"/>
                <w:sz w:val="20"/>
                <w:szCs w:val="20"/>
                <w:lang w:val="en-US" w:eastAsia="en-US"/>
              </w:rPr>
            </w:pPr>
            <w:proofErr w:type="spellStart"/>
            <w:r w:rsidRPr="00294EC0">
              <w:rPr>
                <w:rFonts w:ascii="Calibri" w:hAnsi="Calibri" w:cs="Calibri"/>
                <w:color w:val="334155"/>
                <w:sz w:val="20"/>
                <w:szCs w:val="20"/>
                <w:lang w:val="en-US" w:eastAsia="en-US"/>
              </w:rPr>
              <w:t>Τελικά</w:t>
            </w:r>
            <w:proofErr w:type="spellEnd"/>
            <w:r w:rsidRPr="00294EC0">
              <w:rPr>
                <w:rFonts w:ascii="Calibri" w:hAnsi="Calibri" w:cs="Calibri"/>
                <w:color w:val="334155"/>
                <w:sz w:val="20"/>
                <w:szCs w:val="20"/>
                <w:lang w:val="en-US" w:eastAsia="en-US"/>
              </w:rPr>
              <w:t xml:space="preserve"> Απ</w:t>
            </w:r>
            <w:proofErr w:type="spellStart"/>
            <w:r w:rsidRPr="00294EC0">
              <w:rPr>
                <w:rFonts w:ascii="Calibri" w:hAnsi="Calibri" w:cs="Calibri"/>
                <w:color w:val="334155"/>
                <w:sz w:val="20"/>
                <w:szCs w:val="20"/>
                <w:lang w:val="en-US" w:eastAsia="en-US"/>
              </w:rPr>
              <w:t>οθέμ</w:t>
            </w:r>
            <w:proofErr w:type="spellEnd"/>
            <w:r w:rsidRPr="00294EC0">
              <w:rPr>
                <w:rFonts w:ascii="Calibri" w:hAnsi="Calibri" w:cs="Calibri"/>
                <w:color w:val="334155"/>
                <w:sz w:val="20"/>
                <w:szCs w:val="20"/>
                <w:lang w:val="en-US" w:eastAsia="en-US"/>
              </w:rPr>
              <w:t xml:space="preserve">ατα </w:t>
            </w:r>
            <w:proofErr w:type="spellStart"/>
            <w:r w:rsidRPr="00294EC0">
              <w:rPr>
                <w:rFonts w:ascii="Calibri" w:hAnsi="Calibri" w:cs="Calibri"/>
                <w:color w:val="334155"/>
                <w:sz w:val="20"/>
                <w:szCs w:val="20"/>
                <w:lang w:val="en-US" w:eastAsia="en-US"/>
              </w:rPr>
              <w:t>Βιομηχ</w:t>
            </w:r>
            <w:proofErr w:type="spellEnd"/>
            <w:r w:rsidRPr="00294EC0">
              <w:rPr>
                <w:rFonts w:ascii="Calibri" w:hAnsi="Calibri" w:cs="Calibri"/>
                <w:color w:val="334155"/>
                <w:sz w:val="20"/>
                <w:szCs w:val="20"/>
                <w:lang w:val="en-US" w:eastAsia="en-US"/>
              </w:rPr>
              <w:t>ανίας</w:t>
            </w:r>
          </w:p>
        </w:tc>
        <w:tc>
          <w:tcPr>
            <w:tcW w:w="718" w:type="dxa"/>
            <w:tcBorders>
              <w:top w:val="nil"/>
              <w:left w:val="nil"/>
              <w:bottom w:val="single" w:sz="4" w:space="0" w:color="E2E8F0"/>
              <w:right w:val="single" w:sz="4" w:space="0" w:color="E2E8F0"/>
            </w:tcBorders>
            <w:shd w:val="clear" w:color="auto" w:fill="auto"/>
            <w:noWrap/>
            <w:vAlign w:val="center"/>
            <w:hideMark/>
          </w:tcPr>
          <w:p w14:paraId="4FCD555D"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1.870</w:t>
            </w:r>
          </w:p>
        </w:tc>
        <w:tc>
          <w:tcPr>
            <w:tcW w:w="900" w:type="dxa"/>
            <w:tcBorders>
              <w:top w:val="nil"/>
              <w:left w:val="nil"/>
              <w:bottom w:val="single" w:sz="4" w:space="0" w:color="E2E8F0"/>
              <w:right w:val="single" w:sz="4" w:space="0" w:color="E2E8F0"/>
            </w:tcBorders>
            <w:shd w:val="clear" w:color="auto" w:fill="auto"/>
            <w:noWrap/>
            <w:vAlign w:val="center"/>
            <w:hideMark/>
          </w:tcPr>
          <w:p w14:paraId="1350A7DB"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2.050</w:t>
            </w:r>
          </w:p>
        </w:tc>
        <w:tc>
          <w:tcPr>
            <w:tcW w:w="900" w:type="dxa"/>
            <w:tcBorders>
              <w:top w:val="nil"/>
              <w:left w:val="nil"/>
              <w:bottom w:val="single" w:sz="4" w:space="0" w:color="E2E8F0"/>
              <w:right w:val="single" w:sz="4" w:space="0" w:color="E2E8F0"/>
            </w:tcBorders>
            <w:shd w:val="clear" w:color="auto" w:fill="auto"/>
            <w:noWrap/>
            <w:vAlign w:val="center"/>
            <w:hideMark/>
          </w:tcPr>
          <w:p w14:paraId="18443296"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1.820</w:t>
            </w:r>
          </w:p>
        </w:tc>
        <w:tc>
          <w:tcPr>
            <w:tcW w:w="900" w:type="dxa"/>
            <w:tcBorders>
              <w:top w:val="nil"/>
              <w:left w:val="nil"/>
              <w:bottom w:val="single" w:sz="4" w:space="0" w:color="E2E8F0"/>
              <w:right w:val="single" w:sz="4" w:space="0" w:color="E2E8F0"/>
            </w:tcBorders>
            <w:shd w:val="clear" w:color="auto" w:fill="auto"/>
            <w:noWrap/>
            <w:vAlign w:val="center"/>
            <w:hideMark/>
          </w:tcPr>
          <w:p w14:paraId="0B55568C"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1.690</w:t>
            </w:r>
          </w:p>
        </w:tc>
        <w:tc>
          <w:tcPr>
            <w:tcW w:w="990" w:type="dxa"/>
            <w:tcBorders>
              <w:top w:val="nil"/>
              <w:left w:val="nil"/>
              <w:bottom w:val="single" w:sz="4" w:space="0" w:color="E2E8F0"/>
              <w:right w:val="single" w:sz="4" w:space="0" w:color="E2E8F0"/>
            </w:tcBorders>
            <w:shd w:val="clear" w:color="auto" w:fill="auto"/>
            <w:noWrap/>
            <w:vAlign w:val="center"/>
            <w:hideMark/>
          </w:tcPr>
          <w:p w14:paraId="63E5F939" w14:textId="77777777" w:rsidR="00294EC0" w:rsidRPr="00294EC0" w:rsidRDefault="00294EC0" w:rsidP="00294EC0">
            <w:pPr>
              <w:jc w:val="right"/>
              <w:rPr>
                <w:rFonts w:ascii="Calibri" w:hAnsi="Calibri" w:cs="Calibri"/>
                <w:color w:val="334155"/>
                <w:sz w:val="20"/>
                <w:szCs w:val="20"/>
                <w:lang w:val="en-US" w:eastAsia="en-US"/>
              </w:rPr>
            </w:pPr>
            <w:r w:rsidRPr="00294EC0">
              <w:rPr>
                <w:rFonts w:ascii="Calibri" w:hAnsi="Calibri" w:cs="Calibri"/>
                <w:color w:val="334155"/>
                <w:sz w:val="20"/>
                <w:szCs w:val="20"/>
                <w:lang w:val="en-US" w:eastAsia="en-US"/>
              </w:rPr>
              <w:t>1.800</w:t>
            </w:r>
          </w:p>
        </w:tc>
      </w:tr>
      <w:tr w:rsidR="006A294B" w:rsidRPr="00294EC0" w14:paraId="24F015D5" w14:textId="77777777" w:rsidTr="00631981">
        <w:trPr>
          <w:trHeight w:val="402"/>
        </w:trPr>
        <w:tc>
          <w:tcPr>
            <w:tcW w:w="4680" w:type="dxa"/>
            <w:tcBorders>
              <w:top w:val="nil"/>
              <w:left w:val="single" w:sz="4" w:space="0" w:color="E2E8F0"/>
              <w:bottom w:val="single" w:sz="4" w:space="0" w:color="E2E8F0"/>
              <w:right w:val="single" w:sz="4" w:space="0" w:color="E2E8F0"/>
            </w:tcBorders>
            <w:shd w:val="clear" w:color="F8FAFC" w:fill="F8FAFC"/>
            <w:noWrap/>
            <w:vAlign w:val="center"/>
            <w:hideMark/>
          </w:tcPr>
          <w:p w14:paraId="1E4FBF98" w14:textId="77777777" w:rsidR="00294EC0" w:rsidRPr="00294EC0" w:rsidRDefault="00294EC0" w:rsidP="00294EC0">
            <w:pPr>
              <w:rPr>
                <w:rFonts w:ascii="Calibri" w:hAnsi="Calibri" w:cs="Calibri"/>
                <w:b/>
                <w:bCs/>
                <w:color w:val="334155"/>
                <w:sz w:val="20"/>
                <w:szCs w:val="20"/>
                <w:lang w:eastAsia="en-US"/>
              </w:rPr>
            </w:pPr>
            <w:r w:rsidRPr="00294EC0">
              <w:rPr>
                <w:rFonts w:ascii="Calibri" w:hAnsi="Calibri" w:cs="Calibri"/>
                <w:b/>
                <w:bCs/>
                <w:color w:val="334155"/>
                <w:sz w:val="20"/>
                <w:szCs w:val="20"/>
                <w:lang w:eastAsia="en-US"/>
              </w:rPr>
              <w:t>Φαινόμενη Εγχώρια Κατανάλωση (</w:t>
            </w:r>
            <w:r w:rsidRPr="00294EC0">
              <w:rPr>
                <w:rFonts w:ascii="Calibri" w:hAnsi="Calibri" w:cs="Calibri"/>
                <w:b/>
                <w:bCs/>
                <w:color w:val="334155"/>
                <w:sz w:val="20"/>
                <w:szCs w:val="20"/>
                <w:lang w:val="en-US" w:eastAsia="en-US"/>
              </w:rPr>
              <w:t>Apparent</w:t>
            </w:r>
            <w:r w:rsidRPr="00294EC0">
              <w:rPr>
                <w:rFonts w:ascii="Calibri" w:hAnsi="Calibri" w:cs="Calibri"/>
                <w:b/>
                <w:bCs/>
                <w:color w:val="334155"/>
                <w:sz w:val="20"/>
                <w:szCs w:val="20"/>
                <w:lang w:eastAsia="en-US"/>
              </w:rPr>
              <w:t xml:space="preserve"> </w:t>
            </w:r>
            <w:r w:rsidRPr="00294EC0">
              <w:rPr>
                <w:rFonts w:ascii="Calibri" w:hAnsi="Calibri" w:cs="Calibri"/>
                <w:b/>
                <w:bCs/>
                <w:color w:val="334155"/>
                <w:sz w:val="20"/>
                <w:szCs w:val="20"/>
                <w:lang w:val="en-US" w:eastAsia="en-US"/>
              </w:rPr>
              <w:t>Consumption</w:t>
            </w:r>
            <w:r w:rsidRPr="00294EC0">
              <w:rPr>
                <w:rFonts w:ascii="Calibri" w:hAnsi="Calibri" w:cs="Calibri"/>
                <w:b/>
                <w:bCs/>
                <w:color w:val="334155"/>
                <w:sz w:val="20"/>
                <w:szCs w:val="20"/>
                <w:lang w:eastAsia="en-US"/>
              </w:rPr>
              <w:t>)</w:t>
            </w:r>
          </w:p>
        </w:tc>
        <w:tc>
          <w:tcPr>
            <w:tcW w:w="718" w:type="dxa"/>
            <w:tcBorders>
              <w:top w:val="nil"/>
              <w:left w:val="nil"/>
              <w:bottom w:val="single" w:sz="4" w:space="0" w:color="E2E8F0"/>
              <w:right w:val="single" w:sz="4" w:space="0" w:color="E2E8F0"/>
            </w:tcBorders>
            <w:shd w:val="clear" w:color="F8FAFC" w:fill="F8FAFC"/>
            <w:noWrap/>
            <w:vAlign w:val="center"/>
            <w:hideMark/>
          </w:tcPr>
          <w:p w14:paraId="7475EC27"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6.240</w:t>
            </w:r>
          </w:p>
        </w:tc>
        <w:tc>
          <w:tcPr>
            <w:tcW w:w="900" w:type="dxa"/>
            <w:tcBorders>
              <w:top w:val="nil"/>
              <w:left w:val="nil"/>
              <w:bottom w:val="single" w:sz="4" w:space="0" w:color="E2E8F0"/>
              <w:right w:val="single" w:sz="4" w:space="0" w:color="E2E8F0"/>
            </w:tcBorders>
            <w:shd w:val="clear" w:color="F8FAFC" w:fill="F8FAFC"/>
            <w:noWrap/>
            <w:vAlign w:val="center"/>
            <w:hideMark/>
          </w:tcPr>
          <w:p w14:paraId="6AF18E60"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6.910</w:t>
            </w:r>
          </w:p>
        </w:tc>
        <w:tc>
          <w:tcPr>
            <w:tcW w:w="900" w:type="dxa"/>
            <w:tcBorders>
              <w:top w:val="nil"/>
              <w:left w:val="nil"/>
              <w:bottom w:val="single" w:sz="4" w:space="0" w:color="E2E8F0"/>
              <w:right w:val="single" w:sz="4" w:space="0" w:color="E2E8F0"/>
            </w:tcBorders>
            <w:shd w:val="clear" w:color="F8FAFC" w:fill="F8FAFC"/>
            <w:noWrap/>
            <w:vAlign w:val="center"/>
            <w:hideMark/>
          </w:tcPr>
          <w:p w14:paraId="4FEFDC9B"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6.210</w:t>
            </w:r>
          </w:p>
        </w:tc>
        <w:tc>
          <w:tcPr>
            <w:tcW w:w="900" w:type="dxa"/>
            <w:tcBorders>
              <w:top w:val="nil"/>
              <w:left w:val="nil"/>
              <w:bottom w:val="single" w:sz="4" w:space="0" w:color="E2E8F0"/>
              <w:right w:val="single" w:sz="4" w:space="0" w:color="E2E8F0"/>
            </w:tcBorders>
            <w:shd w:val="clear" w:color="F8FAFC" w:fill="F8FAFC"/>
            <w:noWrap/>
            <w:vAlign w:val="center"/>
            <w:hideMark/>
          </w:tcPr>
          <w:p w14:paraId="3FEEF728"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5.830</w:t>
            </w:r>
          </w:p>
        </w:tc>
        <w:tc>
          <w:tcPr>
            <w:tcW w:w="990" w:type="dxa"/>
            <w:tcBorders>
              <w:top w:val="nil"/>
              <w:left w:val="nil"/>
              <w:bottom w:val="single" w:sz="4" w:space="0" w:color="E2E8F0"/>
              <w:right w:val="single" w:sz="4" w:space="0" w:color="E2E8F0"/>
            </w:tcBorders>
            <w:shd w:val="clear" w:color="F8FAFC" w:fill="F8FAFC"/>
            <w:noWrap/>
            <w:vAlign w:val="center"/>
            <w:hideMark/>
          </w:tcPr>
          <w:p w14:paraId="4D8C92FF"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5.700</w:t>
            </w:r>
          </w:p>
        </w:tc>
      </w:tr>
      <w:tr w:rsidR="006A294B" w:rsidRPr="00294EC0" w14:paraId="13021E2F" w14:textId="77777777" w:rsidTr="00631981">
        <w:trPr>
          <w:trHeight w:val="402"/>
        </w:trPr>
        <w:tc>
          <w:tcPr>
            <w:tcW w:w="4680" w:type="dxa"/>
            <w:tcBorders>
              <w:top w:val="nil"/>
              <w:left w:val="single" w:sz="4" w:space="0" w:color="E2E8F0"/>
              <w:bottom w:val="double" w:sz="6" w:space="0" w:color="1E293B"/>
              <w:right w:val="single" w:sz="4" w:space="0" w:color="E2E8F0"/>
            </w:tcBorders>
            <w:shd w:val="clear" w:color="auto" w:fill="auto"/>
            <w:noWrap/>
            <w:vAlign w:val="center"/>
            <w:hideMark/>
          </w:tcPr>
          <w:p w14:paraId="29825403" w14:textId="77777777" w:rsidR="00294EC0" w:rsidRPr="00294EC0" w:rsidRDefault="00294EC0" w:rsidP="00294EC0">
            <w:pPr>
              <w:rPr>
                <w:rFonts w:ascii="Calibri" w:hAnsi="Calibri" w:cs="Calibri"/>
                <w:b/>
                <w:bCs/>
                <w:color w:val="334155"/>
                <w:sz w:val="20"/>
                <w:szCs w:val="20"/>
                <w:lang w:eastAsia="en-US"/>
              </w:rPr>
            </w:pPr>
            <w:r w:rsidRPr="00294EC0">
              <w:rPr>
                <w:rFonts w:ascii="Calibri" w:hAnsi="Calibri" w:cs="Calibri"/>
                <w:b/>
                <w:bCs/>
                <w:color w:val="334155"/>
                <w:sz w:val="20"/>
                <w:szCs w:val="20"/>
                <w:lang w:eastAsia="en-US"/>
              </w:rPr>
              <w:t>Φαινόμενη Συνολική Προσφορά (</w:t>
            </w:r>
            <w:r w:rsidRPr="00294EC0">
              <w:rPr>
                <w:rFonts w:ascii="Calibri" w:hAnsi="Calibri" w:cs="Calibri"/>
                <w:b/>
                <w:bCs/>
                <w:color w:val="334155"/>
                <w:sz w:val="20"/>
                <w:szCs w:val="20"/>
                <w:lang w:val="en-US" w:eastAsia="en-US"/>
              </w:rPr>
              <w:t>Apparent</w:t>
            </w:r>
            <w:r w:rsidRPr="00294EC0">
              <w:rPr>
                <w:rFonts w:ascii="Calibri" w:hAnsi="Calibri" w:cs="Calibri"/>
                <w:b/>
                <w:bCs/>
                <w:color w:val="334155"/>
                <w:sz w:val="20"/>
                <w:szCs w:val="20"/>
                <w:lang w:eastAsia="en-US"/>
              </w:rPr>
              <w:t xml:space="preserve"> </w:t>
            </w:r>
            <w:r w:rsidRPr="00294EC0">
              <w:rPr>
                <w:rFonts w:ascii="Calibri" w:hAnsi="Calibri" w:cs="Calibri"/>
                <w:b/>
                <w:bCs/>
                <w:color w:val="334155"/>
                <w:sz w:val="20"/>
                <w:szCs w:val="20"/>
                <w:lang w:val="en-US" w:eastAsia="en-US"/>
              </w:rPr>
              <w:t>Total</w:t>
            </w:r>
            <w:r w:rsidRPr="00294EC0">
              <w:rPr>
                <w:rFonts w:ascii="Calibri" w:hAnsi="Calibri" w:cs="Calibri"/>
                <w:b/>
                <w:bCs/>
                <w:color w:val="334155"/>
                <w:sz w:val="20"/>
                <w:szCs w:val="20"/>
                <w:lang w:eastAsia="en-US"/>
              </w:rPr>
              <w:t xml:space="preserve"> </w:t>
            </w:r>
            <w:r w:rsidRPr="00294EC0">
              <w:rPr>
                <w:rFonts w:ascii="Calibri" w:hAnsi="Calibri" w:cs="Calibri"/>
                <w:b/>
                <w:bCs/>
                <w:color w:val="334155"/>
                <w:sz w:val="20"/>
                <w:szCs w:val="20"/>
                <w:lang w:val="en-US" w:eastAsia="en-US"/>
              </w:rPr>
              <w:t>Supply</w:t>
            </w:r>
            <w:r w:rsidRPr="00294EC0">
              <w:rPr>
                <w:rFonts w:ascii="Calibri" w:hAnsi="Calibri" w:cs="Calibri"/>
                <w:b/>
                <w:bCs/>
                <w:color w:val="334155"/>
                <w:sz w:val="20"/>
                <w:szCs w:val="20"/>
                <w:lang w:eastAsia="en-US"/>
              </w:rPr>
              <w:t>)</w:t>
            </w:r>
          </w:p>
        </w:tc>
        <w:tc>
          <w:tcPr>
            <w:tcW w:w="718" w:type="dxa"/>
            <w:tcBorders>
              <w:top w:val="nil"/>
              <w:left w:val="nil"/>
              <w:bottom w:val="double" w:sz="6" w:space="0" w:color="1E293B"/>
              <w:right w:val="single" w:sz="4" w:space="0" w:color="E2E8F0"/>
            </w:tcBorders>
            <w:shd w:val="clear" w:color="auto" w:fill="auto"/>
            <w:noWrap/>
            <w:vAlign w:val="center"/>
            <w:hideMark/>
          </w:tcPr>
          <w:p w14:paraId="07DDC372"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8.020</w:t>
            </w:r>
          </w:p>
        </w:tc>
        <w:tc>
          <w:tcPr>
            <w:tcW w:w="900" w:type="dxa"/>
            <w:tcBorders>
              <w:top w:val="nil"/>
              <w:left w:val="nil"/>
              <w:bottom w:val="double" w:sz="6" w:space="0" w:color="1E293B"/>
              <w:right w:val="single" w:sz="4" w:space="0" w:color="E2E8F0"/>
            </w:tcBorders>
            <w:shd w:val="clear" w:color="auto" w:fill="auto"/>
            <w:noWrap/>
            <w:vAlign w:val="center"/>
            <w:hideMark/>
          </w:tcPr>
          <w:p w14:paraId="619FA369"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8.820</w:t>
            </w:r>
          </w:p>
        </w:tc>
        <w:tc>
          <w:tcPr>
            <w:tcW w:w="900" w:type="dxa"/>
            <w:tcBorders>
              <w:top w:val="nil"/>
              <w:left w:val="nil"/>
              <w:bottom w:val="double" w:sz="6" w:space="0" w:color="1E293B"/>
              <w:right w:val="single" w:sz="4" w:space="0" w:color="E2E8F0"/>
            </w:tcBorders>
            <w:shd w:val="clear" w:color="auto" w:fill="auto"/>
            <w:noWrap/>
            <w:vAlign w:val="center"/>
            <w:hideMark/>
          </w:tcPr>
          <w:p w14:paraId="444CD96C"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8.070</w:t>
            </w:r>
          </w:p>
        </w:tc>
        <w:tc>
          <w:tcPr>
            <w:tcW w:w="900" w:type="dxa"/>
            <w:tcBorders>
              <w:top w:val="nil"/>
              <w:left w:val="nil"/>
              <w:bottom w:val="double" w:sz="6" w:space="0" w:color="1E293B"/>
              <w:right w:val="single" w:sz="4" w:space="0" w:color="E2E8F0"/>
            </w:tcBorders>
            <w:shd w:val="clear" w:color="auto" w:fill="auto"/>
            <w:noWrap/>
            <w:vAlign w:val="center"/>
            <w:hideMark/>
          </w:tcPr>
          <w:p w14:paraId="533DDBC0"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7.950</w:t>
            </w:r>
          </w:p>
        </w:tc>
        <w:tc>
          <w:tcPr>
            <w:tcW w:w="990" w:type="dxa"/>
            <w:tcBorders>
              <w:top w:val="nil"/>
              <w:left w:val="nil"/>
              <w:bottom w:val="double" w:sz="6" w:space="0" w:color="1E293B"/>
              <w:right w:val="single" w:sz="4" w:space="0" w:color="E2E8F0"/>
            </w:tcBorders>
            <w:shd w:val="clear" w:color="auto" w:fill="auto"/>
            <w:noWrap/>
            <w:vAlign w:val="center"/>
            <w:hideMark/>
          </w:tcPr>
          <w:p w14:paraId="07243496"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7.700</w:t>
            </w:r>
          </w:p>
        </w:tc>
      </w:tr>
      <w:tr w:rsidR="006A294B" w:rsidRPr="00294EC0" w14:paraId="0BA24938" w14:textId="77777777" w:rsidTr="00631981">
        <w:trPr>
          <w:trHeight w:val="300"/>
        </w:trPr>
        <w:tc>
          <w:tcPr>
            <w:tcW w:w="4680" w:type="dxa"/>
            <w:tcBorders>
              <w:top w:val="nil"/>
              <w:left w:val="nil"/>
              <w:bottom w:val="nil"/>
              <w:right w:val="nil"/>
            </w:tcBorders>
            <w:shd w:val="clear" w:color="auto" w:fill="auto"/>
            <w:noWrap/>
            <w:vAlign w:val="bottom"/>
            <w:hideMark/>
          </w:tcPr>
          <w:p w14:paraId="534CB3AF" w14:textId="77777777" w:rsidR="00294EC0" w:rsidRPr="00294EC0" w:rsidRDefault="00294EC0" w:rsidP="00294EC0">
            <w:pPr>
              <w:jc w:val="right"/>
              <w:rPr>
                <w:rFonts w:ascii="Calibri" w:hAnsi="Calibri" w:cs="Calibri"/>
                <w:b/>
                <w:bCs/>
                <w:color w:val="334155"/>
                <w:sz w:val="20"/>
                <w:szCs w:val="20"/>
                <w:lang w:val="en-US" w:eastAsia="en-US"/>
              </w:rPr>
            </w:pPr>
          </w:p>
        </w:tc>
        <w:tc>
          <w:tcPr>
            <w:tcW w:w="718" w:type="dxa"/>
            <w:tcBorders>
              <w:top w:val="nil"/>
              <w:left w:val="nil"/>
              <w:bottom w:val="nil"/>
              <w:right w:val="nil"/>
            </w:tcBorders>
            <w:shd w:val="clear" w:color="auto" w:fill="auto"/>
            <w:noWrap/>
            <w:vAlign w:val="bottom"/>
            <w:hideMark/>
          </w:tcPr>
          <w:p w14:paraId="40962CC5" w14:textId="77777777" w:rsidR="00294EC0" w:rsidRPr="00294EC0" w:rsidRDefault="00294EC0" w:rsidP="00294EC0">
            <w:pPr>
              <w:rPr>
                <w:sz w:val="20"/>
                <w:szCs w:val="20"/>
                <w:lang w:val="en-US" w:eastAsia="en-US"/>
              </w:rPr>
            </w:pPr>
          </w:p>
        </w:tc>
        <w:tc>
          <w:tcPr>
            <w:tcW w:w="900" w:type="dxa"/>
            <w:tcBorders>
              <w:top w:val="nil"/>
              <w:left w:val="nil"/>
              <w:bottom w:val="nil"/>
              <w:right w:val="nil"/>
            </w:tcBorders>
            <w:shd w:val="clear" w:color="auto" w:fill="auto"/>
            <w:noWrap/>
            <w:vAlign w:val="bottom"/>
            <w:hideMark/>
          </w:tcPr>
          <w:p w14:paraId="5C40667E" w14:textId="77777777" w:rsidR="00294EC0" w:rsidRPr="00294EC0" w:rsidRDefault="00294EC0" w:rsidP="00294EC0">
            <w:pPr>
              <w:rPr>
                <w:sz w:val="20"/>
                <w:szCs w:val="20"/>
                <w:lang w:val="en-US" w:eastAsia="en-US"/>
              </w:rPr>
            </w:pPr>
          </w:p>
        </w:tc>
        <w:tc>
          <w:tcPr>
            <w:tcW w:w="900" w:type="dxa"/>
            <w:tcBorders>
              <w:top w:val="nil"/>
              <w:left w:val="nil"/>
              <w:bottom w:val="nil"/>
              <w:right w:val="nil"/>
            </w:tcBorders>
            <w:shd w:val="clear" w:color="auto" w:fill="auto"/>
            <w:noWrap/>
            <w:vAlign w:val="bottom"/>
            <w:hideMark/>
          </w:tcPr>
          <w:p w14:paraId="2DA8E350" w14:textId="77777777" w:rsidR="00294EC0" w:rsidRPr="00294EC0" w:rsidRDefault="00294EC0" w:rsidP="00294EC0">
            <w:pPr>
              <w:rPr>
                <w:sz w:val="20"/>
                <w:szCs w:val="20"/>
                <w:lang w:val="en-US" w:eastAsia="en-US"/>
              </w:rPr>
            </w:pPr>
          </w:p>
        </w:tc>
        <w:tc>
          <w:tcPr>
            <w:tcW w:w="900" w:type="dxa"/>
            <w:tcBorders>
              <w:top w:val="nil"/>
              <w:left w:val="nil"/>
              <w:bottom w:val="nil"/>
              <w:right w:val="nil"/>
            </w:tcBorders>
            <w:shd w:val="clear" w:color="auto" w:fill="auto"/>
            <w:noWrap/>
            <w:vAlign w:val="bottom"/>
            <w:hideMark/>
          </w:tcPr>
          <w:p w14:paraId="43255159" w14:textId="77777777" w:rsidR="00294EC0" w:rsidRPr="00294EC0" w:rsidRDefault="00294EC0" w:rsidP="00294EC0">
            <w:pPr>
              <w:rPr>
                <w:sz w:val="20"/>
                <w:szCs w:val="20"/>
                <w:lang w:val="en-US" w:eastAsia="en-US"/>
              </w:rPr>
            </w:pPr>
          </w:p>
        </w:tc>
        <w:tc>
          <w:tcPr>
            <w:tcW w:w="990" w:type="dxa"/>
            <w:tcBorders>
              <w:top w:val="nil"/>
              <w:left w:val="nil"/>
              <w:bottom w:val="nil"/>
              <w:right w:val="nil"/>
            </w:tcBorders>
            <w:shd w:val="clear" w:color="auto" w:fill="auto"/>
            <w:noWrap/>
            <w:vAlign w:val="bottom"/>
            <w:hideMark/>
          </w:tcPr>
          <w:p w14:paraId="09AEA2A5" w14:textId="77777777" w:rsidR="00294EC0" w:rsidRPr="00294EC0" w:rsidRDefault="00294EC0" w:rsidP="00294EC0">
            <w:pPr>
              <w:rPr>
                <w:sz w:val="20"/>
                <w:szCs w:val="20"/>
                <w:lang w:val="en-US" w:eastAsia="en-US"/>
              </w:rPr>
            </w:pPr>
          </w:p>
        </w:tc>
      </w:tr>
      <w:tr w:rsidR="006A294B" w:rsidRPr="00294EC0" w14:paraId="4E2F6BE9" w14:textId="77777777" w:rsidTr="00631981">
        <w:trPr>
          <w:trHeight w:val="402"/>
        </w:trPr>
        <w:tc>
          <w:tcPr>
            <w:tcW w:w="4680" w:type="dxa"/>
            <w:tcBorders>
              <w:top w:val="nil"/>
              <w:left w:val="nil"/>
              <w:bottom w:val="nil"/>
              <w:right w:val="nil"/>
            </w:tcBorders>
            <w:shd w:val="clear" w:color="auto" w:fill="auto"/>
            <w:noWrap/>
            <w:vAlign w:val="bottom"/>
            <w:hideMark/>
          </w:tcPr>
          <w:p w14:paraId="6BDFA270" w14:textId="77777777" w:rsidR="00294EC0" w:rsidRPr="00294EC0" w:rsidRDefault="00294EC0" w:rsidP="00294EC0">
            <w:pPr>
              <w:rPr>
                <w:rFonts w:ascii="Calibri" w:hAnsi="Calibri" w:cs="Calibri"/>
                <w:b/>
                <w:bCs/>
                <w:color w:val="1E3A8A"/>
                <w:sz w:val="22"/>
                <w:szCs w:val="22"/>
                <w:lang w:eastAsia="en-US"/>
              </w:rPr>
            </w:pPr>
            <w:r w:rsidRPr="00294EC0">
              <w:rPr>
                <w:rFonts w:ascii="Calibri" w:hAnsi="Calibri" w:cs="Calibri"/>
                <w:b/>
                <w:bCs/>
                <w:color w:val="1E3A8A"/>
                <w:sz w:val="22"/>
                <w:szCs w:val="22"/>
                <w:lang w:eastAsia="en-US"/>
              </w:rPr>
              <w:t>2. Βασικοί Δείκτες &amp; Τιμές Αγοράς ΗΠΑ</w:t>
            </w:r>
          </w:p>
        </w:tc>
        <w:tc>
          <w:tcPr>
            <w:tcW w:w="718" w:type="dxa"/>
            <w:tcBorders>
              <w:top w:val="nil"/>
              <w:left w:val="nil"/>
              <w:bottom w:val="nil"/>
              <w:right w:val="nil"/>
            </w:tcBorders>
            <w:shd w:val="clear" w:color="auto" w:fill="auto"/>
            <w:noWrap/>
            <w:vAlign w:val="bottom"/>
            <w:hideMark/>
          </w:tcPr>
          <w:p w14:paraId="7D678C42" w14:textId="77777777" w:rsidR="00294EC0" w:rsidRPr="00294EC0" w:rsidRDefault="00294EC0" w:rsidP="00294EC0">
            <w:pPr>
              <w:rPr>
                <w:rFonts w:ascii="Calibri" w:hAnsi="Calibri" w:cs="Calibri"/>
                <w:b/>
                <w:bCs/>
                <w:color w:val="1E3A8A"/>
                <w:sz w:val="22"/>
                <w:szCs w:val="22"/>
                <w:lang w:eastAsia="en-US"/>
              </w:rPr>
            </w:pPr>
          </w:p>
        </w:tc>
        <w:tc>
          <w:tcPr>
            <w:tcW w:w="900" w:type="dxa"/>
            <w:tcBorders>
              <w:top w:val="nil"/>
              <w:left w:val="nil"/>
              <w:bottom w:val="nil"/>
              <w:right w:val="nil"/>
            </w:tcBorders>
            <w:shd w:val="clear" w:color="auto" w:fill="auto"/>
            <w:noWrap/>
            <w:vAlign w:val="bottom"/>
            <w:hideMark/>
          </w:tcPr>
          <w:p w14:paraId="087CBDA3" w14:textId="77777777" w:rsidR="00294EC0" w:rsidRPr="00294EC0" w:rsidRDefault="00294EC0" w:rsidP="00294EC0">
            <w:pPr>
              <w:rPr>
                <w:sz w:val="20"/>
                <w:szCs w:val="20"/>
                <w:lang w:eastAsia="en-US"/>
              </w:rPr>
            </w:pPr>
          </w:p>
        </w:tc>
        <w:tc>
          <w:tcPr>
            <w:tcW w:w="900" w:type="dxa"/>
            <w:tcBorders>
              <w:top w:val="nil"/>
              <w:left w:val="nil"/>
              <w:bottom w:val="nil"/>
              <w:right w:val="nil"/>
            </w:tcBorders>
            <w:shd w:val="clear" w:color="auto" w:fill="auto"/>
            <w:noWrap/>
            <w:vAlign w:val="bottom"/>
            <w:hideMark/>
          </w:tcPr>
          <w:p w14:paraId="3483BADB" w14:textId="77777777" w:rsidR="00294EC0" w:rsidRPr="00294EC0" w:rsidRDefault="00294EC0" w:rsidP="00294EC0">
            <w:pPr>
              <w:rPr>
                <w:sz w:val="20"/>
                <w:szCs w:val="20"/>
                <w:lang w:eastAsia="en-US"/>
              </w:rPr>
            </w:pPr>
          </w:p>
        </w:tc>
        <w:tc>
          <w:tcPr>
            <w:tcW w:w="900" w:type="dxa"/>
            <w:tcBorders>
              <w:top w:val="nil"/>
              <w:left w:val="nil"/>
              <w:bottom w:val="nil"/>
              <w:right w:val="nil"/>
            </w:tcBorders>
            <w:shd w:val="clear" w:color="auto" w:fill="auto"/>
            <w:noWrap/>
            <w:vAlign w:val="bottom"/>
            <w:hideMark/>
          </w:tcPr>
          <w:p w14:paraId="3CA43694" w14:textId="77777777" w:rsidR="00294EC0" w:rsidRPr="00294EC0" w:rsidRDefault="00294EC0" w:rsidP="00294EC0">
            <w:pPr>
              <w:rPr>
                <w:sz w:val="20"/>
                <w:szCs w:val="20"/>
                <w:lang w:eastAsia="en-US"/>
              </w:rPr>
            </w:pPr>
          </w:p>
        </w:tc>
        <w:tc>
          <w:tcPr>
            <w:tcW w:w="990" w:type="dxa"/>
            <w:tcBorders>
              <w:top w:val="nil"/>
              <w:left w:val="nil"/>
              <w:bottom w:val="nil"/>
              <w:right w:val="nil"/>
            </w:tcBorders>
            <w:shd w:val="clear" w:color="auto" w:fill="auto"/>
            <w:noWrap/>
            <w:vAlign w:val="bottom"/>
            <w:hideMark/>
          </w:tcPr>
          <w:p w14:paraId="02CEAF80" w14:textId="77777777" w:rsidR="00294EC0" w:rsidRPr="00294EC0" w:rsidRDefault="00294EC0" w:rsidP="00294EC0">
            <w:pPr>
              <w:rPr>
                <w:sz w:val="20"/>
                <w:szCs w:val="20"/>
                <w:lang w:eastAsia="en-US"/>
              </w:rPr>
            </w:pPr>
          </w:p>
        </w:tc>
      </w:tr>
      <w:tr w:rsidR="006A294B" w:rsidRPr="00294EC0" w14:paraId="48276C7F" w14:textId="77777777" w:rsidTr="00631981">
        <w:trPr>
          <w:trHeight w:val="559"/>
        </w:trPr>
        <w:tc>
          <w:tcPr>
            <w:tcW w:w="4680" w:type="dxa"/>
            <w:tcBorders>
              <w:top w:val="nil"/>
              <w:left w:val="nil"/>
              <w:bottom w:val="nil"/>
              <w:right w:val="nil"/>
            </w:tcBorders>
            <w:shd w:val="clear" w:color="1E3A8A" w:fill="1E3A8A"/>
            <w:vAlign w:val="center"/>
            <w:hideMark/>
          </w:tcPr>
          <w:p w14:paraId="0C4B9C25" w14:textId="77777777" w:rsidR="00294EC0" w:rsidRPr="00294EC0" w:rsidRDefault="00294EC0" w:rsidP="00294EC0">
            <w:pPr>
              <w:rPr>
                <w:rFonts w:ascii="Calibri" w:hAnsi="Calibri" w:cs="Calibri"/>
                <w:b/>
                <w:bCs/>
                <w:color w:val="FFFFFF"/>
                <w:sz w:val="20"/>
                <w:szCs w:val="20"/>
                <w:lang w:val="en-US" w:eastAsia="en-US"/>
              </w:rPr>
            </w:pPr>
            <w:proofErr w:type="spellStart"/>
            <w:r w:rsidRPr="00294EC0">
              <w:rPr>
                <w:rFonts w:ascii="Calibri" w:hAnsi="Calibri" w:cs="Calibri"/>
                <w:b/>
                <w:bCs/>
                <w:color w:val="FFFFFF"/>
                <w:sz w:val="20"/>
                <w:szCs w:val="20"/>
                <w:lang w:val="en-US" w:eastAsia="en-US"/>
              </w:rPr>
              <w:t>Δείκτης</w:t>
            </w:r>
            <w:proofErr w:type="spellEnd"/>
            <w:r w:rsidRPr="00294EC0">
              <w:rPr>
                <w:rFonts w:ascii="Calibri" w:hAnsi="Calibri" w:cs="Calibri"/>
                <w:b/>
                <w:bCs/>
                <w:color w:val="FFFFFF"/>
                <w:sz w:val="20"/>
                <w:szCs w:val="20"/>
                <w:lang w:val="en-US" w:eastAsia="en-US"/>
              </w:rPr>
              <w:t xml:space="preserve"> (Market Indicator)</w:t>
            </w:r>
          </w:p>
        </w:tc>
        <w:tc>
          <w:tcPr>
            <w:tcW w:w="718" w:type="dxa"/>
            <w:tcBorders>
              <w:top w:val="nil"/>
              <w:left w:val="nil"/>
              <w:bottom w:val="nil"/>
              <w:right w:val="nil"/>
            </w:tcBorders>
            <w:shd w:val="clear" w:color="1E3A8A" w:fill="1E3A8A"/>
            <w:vAlign w:val="center"/>
            <w:hideMark/>
          </w:tcPr>
          <w:p w14:paraId="4BB20165"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2021</w:t>
            </w:r>
          </w:p>
        </w:tc>
        <w:tc>
          <w:tcPr>
            <w:tcW w:w="900" w:type="dxa"/>
            <w:tcBorders>
              <w:top w:val="nil"/>
              <w:left w:val="nil"/>
              <w:bottom w:val="nil"/>
              <w:right w:val="nil"/>
            </w:tcBorders>
            <w:shd w:val="clear" w:color="1E3A8A" w:fill="1E3A8A"/>
            <w:vAlign w:val="center"/>
            <w:hideMark/>
          </w:tcPr>
          <w:p w14:paraId="06EC6440"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2022</w:t>
            </w:r>
          </w:p>
        </w:tc>
        <w:tc>
          <w:tcPr>
            <w:tcW w:w="900" w:type="dxa"/>
            <w:tcBorders>
              <w:top w:val="nil"/>
              <w:left w:val="nil"/>
              <w:bottom w:val="nil"/>
              <w:right w:val="nil"/>
            </w:tcBorders>
            <w:shd w:val="clear" w:color="1E3A8A" w:fill="1E3A8A"/>
            <w:vAlign w:val="center"/>
            <w:hideMark/>
          </w:tcPr>
          <w:p w14:paraId="35CE9596"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2023</w:t>
            </w:r>
          </w:p>
        </w:tc>
        <w:tc>
          <w:tcPr>
            <w:tcW w:w="900" w:type="dxa"/>
            <w:tcBorders>
              <w:top w:val="nil"/>
              <w:left w:val="nil"/>
              <w:bottom w:val="nil"/>
              <w:right w:val="nil"/>
            </w:tcBorders>
            <w:shd w:val="clear" w:color="1E3A8A" w:fill="1E3A8A"/>
            <w:vAlign w:val="center"/>
            <w:hideMark/>
          </w:tcPr>
          <w:p w14:paraId="514D6705"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2024</w:t>
            </w:r>
          </w:p>
        </w:tc>
        <w:tc>
          <w:tcPr>
            <w:tcW w:w="990" w:type="dxa"/>
            <w:tcBorders>
              <w:top w:val="nil"/>
              <w:left w:val="nil"/>
              <w:bottom w:val="nil"/>
              <w:right w:val="nil"/>
            </w:tcBorders>
            <w:shd w:val="clear" w:color="1E3A8A" w:fill="1E3A8A"/>
            <w:vAlign w:val="center"/>
            <w:hideMark/>
          </w:tcPr>
          <w:p w14:paraId="21760841" w14:textId="77777777" w:rsidR="00294EC0" w:rsidRPr="00294EC0" w:rsidRDefault="00294EC0" w:rsidP="00294EC0">
            <w:pPr>
              <w:jc w:val="center"/>
              <w:rPr>
                <w:rFonts w:ascii="Calibri" w:hAnsi="Calibri" w:cs="Calibri"/>
                <w:b/>
                <w:bCs/>
                <w:color w:val="FFFFFF"/>
                <w:sz w:val="20"/>
                <w:szCs w:val="20"/>
                <w:lang w:val="en-US" w:eastAsia="en-US"/>
              </w:rPr>
            </w:pPr>
            <w:r w:rsidRPr="00294EC0">
              <w:rPr>
                <w:rFonts w:ascii="Calibri" w:hAnsi="Calibri" w:cs="Calibri"/>
                <w:b/>
                <w:bCs/>
                <w:color w:val="FFFFFF"/>
                <w:sz w:val="20"/>
                <w:szCs w:val="20"/>
                <w:lang w:val="en-US" w:eastAsia="en-US"/>
              </w:rPr>
              <w:t>2025 (</w:t>
            </w:r>
            <w:proofErr w:type="spellStart"/>
            <w:r w:rsidRPr="00294EC0">
              <w:rPr>
                <w:rFonts w:ascii="Calibri" w:hAnsi="Calibri" w:cs="Calibri"/>
                <w:b/>
                <w:bCs/>
                <w:color w:val="FFFFFF"/>
                <w:sz w:val="20"/>
                <w:szCs w:val="20"/>
                <w:lang w:val="en-US" w:eastAsia="en-US"/>
              </w:rPr>
              <w:t>Εκτ</w:t>
            </w:r>
            <w:proofErr w:type="spellEnd"/>
            <w:r w:rsidRPr="00294EC0">
              <w:rPr>
                <w:rFonts w:ascii="Calibri" w:hAnsi="Calibri" w:cs="Calibri"/>
                <w:b/>
                <w:bCs/>
                <w:color w:val="FFFFFF"/>
                <w:sz w:val="20"/>
                <w:szCs w:val="20"/>
                <w:lang w:val="en-US" w:eastAsia="en-US"/>
              </w:rPr>
              <w:t>.)</w:t>
            </w:r>
          </w:p>
        </w:tc>
      </w:tr>
      <w:tr w:rsidR="006A294B" w:rsidRPr="00294EC0" w14:paraId="15048861" w14:textId="77777777" w:rsidTr="00631981">
        <w:trPr>
          <w:trHeight w:val="402"/>
        </w:trPr>
        <w:tc>
          <w:tcPr>
            <w:tcW w:w="4680" w:type="dxa"/>
            <w:tcBorders>
              <w:top w:val="single" w:sz="4" w:space="0" w:color="E2E8F0"/>
              <w:left w:val="single" w:sz="4" w:space="0" w:color="E2E8F0"/>
              <w:bottom w:val="single" w:sz="4" w:space="0" w:color="E2E8F0"/>
              <w:right w:val="single" w:sz="4" w:space="0" w:color="E2E8F0"/>
            </w:tcBorders>
            <w:shd w:val="clear" w:color="auto" w:fill="auto"/>
            <w:noWrap/>
            <w:vAlign w:val="center"/>
            <w:hideMark/>
          </w:tcPr>
          <w:p w14:paraId="2B7A1789" w14:textId="77777777" w:rsidR="00294EC0" w:rsidRPr="00294EC0" w:rsidRDefault="00294EC0" w:rsidP="00294EC0">
            <w:pPr>
              <w:rPr>
                <w:rFonts w:ascii="Calibri" w:hAnsi="Calibri" w:cs="Calibri"/>
                <w:b/>
                <w:bCs/>
                <w:color w:val="334155"/>
                <w:sz w:val="20"/>
                <w:szCs w:val="20"/>
                <w:lang w:eastAsia="en-US"/>
              </w:rPr>
            </w:pPr>
            <w:r w:rsidRPr="00294EC0">
              <w:rPr>
                <w:rFonts w:ascii="Calibri" w:hAnsi="Calibri" w:cs="Calibri"/>
                <w:b/>
                <w:bCs/>
                <w:color w:val="334155"/>
                <w:sz w:val="20"/>
                <w:szCs w:val="20"/>
                <w:lang w:eastAsia="en-US"/>
              </w:rPr>
              <w:t>Καθαρή Εξάρτηση από Εισαγωγές (% Φαινόμενης Κατανάλωσης)</w:t>
            </w:r>
          </w:p>
        </w:tc>
        <w:tc>
          <w:tcPr>
            <w:tcW w:w="718" w:type="dxa"/>
            <w:tcBorders>
              <w:top w:val="single" w:sz="4" w:space="0" w:color="E2E8F0"/>
              <w:left w:val="nil"/>
              <w:bottom w:val="single" w:sz="4" w:space="0" w:color="E2E8F0"/>
              <w:right w:val="single" w:sz="4" w:space="0" w:color="E2E8F0"/>
            </w:tcBorders>
            <w:shd w:val="clear" w:color="auto" w:fill="auto"/>
            <w:noWrap/>
            <w:vAlign w:val="center"/>
            <w:hideMark/>
          </w:tcPr>
          <w:p w14:paraId="05E59C9E"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61,0%</w:t>
            </w:r>
          </w:p>
        </w:tc>
        <w:tc>
          <w:tcPr>
            <w:tcW w:w="900" w:type="dxa"/>
            <w:tcBorders>
              <w:top w:val="single" w:sz="4" w:space="0" w:color="E2E8F0"/>
              <w:left w:val="nil"/>
              <w:bottom w:val="single" w:sz="4" w:space="0" w:color="E2E8F0"/>
              <w:right w:val="single" w:sz="4" w:space="0" w:color="E2E8F0"/>
            </w:tcBorders>
            <w:shd w:val="clear" w:color="auto" w:fill="auto"/>
            <w:noWrap/>
            <w:vAlign w:val="center"/>
            <w:hideMark/>
          </w:tcPr>
          <w:p w14:paraId="54B61591"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66,0%</w:t>
            </w:r>
          </w:p>
        </w:tc>
        <w:tc>
          <w:tcPr>
            <w:tcW w:w="900" w:type="dxa"/>
            <w:tcBorders>
              <w:top w:val="single" w:sz="4" w:space="0" w:color="E2E8F0"/>
              <w:left w:val="nil"/>
              <w:bottom w:val="single" w:sz="4" w:space="0" w:color="E2E8F0"/>
              <w:right w:val="single" w:sz="4" w:space="0" w:color="E2E8F0"/>
            </w:tcBorders>
            <w:shd w:val="clear" w:color="auto" w:fill="auto"/>
            <w:noWrap/>
            <w:vAlign w:val="center"/>
            <w:hideMark/>
          </w:tcPr>
          <w:p w14:paraId="6866300B"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63,0%</w:t>
            </w:r>
          </w:p>
        </w:tc>
        <w:tc>
          <w:tcPr>
            <w:tcW w:w="900" w:type="dxa"/>
            <w:tcBorders>
              <w:top w:val="single" w:sz="4" w:space="0" w:color="E2E8F0"/>
              <w:left w:val="nil"/>
              <w:bottom w:val="single" w:sz="4" w:space="0" w:color="E2E8F0"/>
              <w:right w:val="single" w:sz="4" w:space="0" w:color="E2E8F0"/>
            </w:tcBorders>
            <w:shd w:val="clear" w:color="auto" w:fill="auto"/>
            <w:noWrap/>
            <w:vAlign w:val="center"/>
            <w:hideMark/>
          </w:tcPr>
          <w:p w14:paraId="334E0411"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62,0%</w:t>
            </w:r>
          </w:p>
        </w:tc>
        <w:tc>
          <w:tcPr>
            <w:tcW w:w="990" w:type="dxa"/>
            <w:tcBorders>
              <w:top w:val="single" w:sz="4" w:space="0" w:color="E2E8F0"/>
              <w:left w:val="nil"/>
              <w:bottom w:val="single" w:sz="4" w:space="0" w:color="E2E8F0"/>
              <w:right w:val="single" w:sz="4" w:space="0" w:color="E2E8F0"/>
            </w:tcBorders>
            <w:shd w:val="clear" w:color="auto" w:fill="auto"/>
            <w:noWrap/>
            <w:vAlign w:val="center"/>
            <w:hideMark/>
          </w:tcPr>
          <w:p w14:paraId="52FED37F"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60,0%</w:t>
            </w:r>
          </w:p>
        </w:tc>
      </w:tr>
      <w:tr w:rsidR="006A294B" w:rsidRPr="00294EC0" w14:paraId="281CE859" w14:textId="77777777" w:rsidTr="00631981">
        <w:trPr>
          <w:trHeight w:val="402"/>
        </w:trPr>
        <w:tc>
          <w:tcPr>
            <w:tcW w:w="4680" w:type="dxa"/>
            <w:tcBorders>
              <w:top w:val="nil"/>
              <w:left w:val="single" w:sz="4" w:space="0" w:color="E2E8F0"/>
              <w:bottom w:val="double" w:sz="6" w:space="0" w:color="1E293B"/>
              <w:right w:val="single" w:sz="4" w:space="0" w:color="E2E8F0"/>
            </w:tcBorders>
            <w:shd w:val="clear" w:color="F8FAFC" w:fill="F8FAFC"/>
            <w:noWrap/>
            <w:vAlign w:val="center"/>
            <w:hideMark/>
          </w:tcPr>
          <w:p w14:paraId="69F0B186" w14:textId="77777777" w:rsidR="00294EC0" w:rsidRPr="00294EC0" w:rsidRDefault="00294EC0" w:rsidP="00294EC0">
            <w:pPr>
              <w:rPr>
                <w:rFonts w:ascii="Calibri" w:hAnsi="Calibri" w:cs="Calibri"/>
                <w:b/>
                <w:bCs/>
                <w:color w:val="334155"/>
                <w:sz w:val="20"/>
                <w:szCs w:val="20"/>
                <w:lang w:val="en-US" w:eastAsia="en-US"/>
              </w:rPr>
            </w:pPr>
            <w:proofErr w:type="spellStart"/>
            <w:r w:rsidRPr="00294EC0">
              <w:rPr>
                <w:rFonts w:ascii="Calibri" w:hAnsi="Calibri" w:cs="Calibri"/>
                <w:b/>
                <w:bCs/>
                <w:color w:val="334155"/>
                <w:sz w:val="20"/>
                <w:szCs w:val="20"/>
                <w:lang w:val="en-US" w:eastAsia="en-US"/>
              </w:rPr>
              <w:t>Μέση</w:t>
            </w:r>
            <w:proofErr w:type="spellEnd"/>
            <w:r w:rsidRPr="00294EC0">
              <w:rPr>
                <w:rFonts w:ascii="Calibri" w:hAnsi="Calibri" w:cs="Calibri"/>
                <w:b/>
                <w:bCs/>
                <w:color w:val="334155"/>
                <w:sz w:val="20"/>
                <w:szCs w:val="20"/>
                <w:lang w:val="en-US" w:eastAsia="en-US"/>
              </w:rPr>
              <w:t xml:space="preserve"> </w:t>
            </w:r>
            <w:proofErr w:type="spellStart"/>
            <w:r w:rsidRPr="00294EC0">
              <w:rPr>
                <w:rFonts w:ascii="Calibri" w:hAnsi="Calibri" w:cs="Calibri"/>
                <w:b/>
                <w:bCs/>
                <w:color w:val="334155"/>
                <w:sz w:val="20"/>
                <w:szCs w:val="20"/>
                <w:lang w:val="en-US" w:eastAsia="en-US"/>
              </w:rPr>
              <w:t>Τιμή</w:t>
            </w:r>
            <w:proofErr w:type="spellEnd"/>
            <w:r w:rsidRPr="00294EC0">
              <w:rPr>
                <w:rFonts w:ascii="Calibri" w:hAnsi="Calibri" w:cs="Calibri"/>
                <w:b/>
                <w:bCs/>
                <w:color w:val="334155"/>
                <w:sz w:val="20"/>
                <w:szCs w:val="20"/>
                <w:lang w:val="en-US" w:eastAsia="en-US"/>
              </w:rPr>
              <w:t xml:space="preserve"> Spot </w:t>
            </w:r>
            <w:proofErr w:type="spellStart"/>
            <w:r w:rsidRPr="00294EC0">
              <w:rPr>
                <w:rFonts w:ascii="Calibri" w:hAnsi="Calibri" w:cs="Calibri"/>
                <w:b/>
                <w:bCs/>
                <w:color w:val="334155"/>
                <w:sz w:val="20"/>
                <w:szCs w:val="20"/>
                <w:lang w:val="en-US" w:eastAsia="en-US"/>
              </w:rPr>
              <w:t>Πλινθωμάτων</w:t>
            </w:r>
            <w:proofErr w:type="spellEnd"/>
            <w:r w:rsidRPr="00294EC0">
              <w:rPr>
                <w:rFonts w:ascii="Calibri" w:hAnsi="Calibri" w:cs="Calibri"/>
                <w:b/>
                <w:bCs/>
                <w:color w:val="334155"/>
                <w:sz w:val="20"/>
                <w:szCs w:val="20"/>
                <w:lang w:val="en-US" w:eastAsia="en-US"/>
              </w:rPr>
              <w:t xml:space="preserve"> ΗΠΑ (US Spot Ingot Price)</w:t>
            </w:r>
          </w:p>
        </w:tc>
        <w:tc>
          <w:tcPr>
            <w:tcW w:w="718" w:type="dxa"/>
            <w:tcBorders>
              <w:top w:val="nil"/>
              <w:left w:val="nil"/>
              <w:bottom w:val="double" w:sz="6" w:space="0" w:color="1E293B"/>
              <w:right w:val="single" w:sz="4" w:space="0" w:color="E2E8F0"/>
            </w:tcBorders>
            <w:shd w:val="clear" w:color="F8FAFC" w:fill="F8FAFC"/>
            <w:noWrap/>
            <w:vAlign w:val="center"/>
            <w:hideMark/>
          </w:tcPr>
          <w:p w14:paraId="51D75C09"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138,5 ¢/</w:t>
            </w:r>
            <w:proofErr w:type="spellStart"/>
            <w:r w:rsidRPr="00294EC0">
              <w:rPr>
                <w:rFonts w:ascii="Calibri" w:hAnsi="Calibri" w:cs="Calibri"/>
                <w:b/>
                <w:bCs/>
                <w:color w:val="334155"/>
                <w:sz w:val="20"/>
                <w:szCs w:val="20"/>
                <w:lang w:val="en-US" w:eastAsia="en-US"/>
              </w:rPr>
              <w:t>lb</w:t>
            </w:r>
            <w:proofErr w:type="spellEnd"/>
          </w:p>
        </w:tc>
        <w:tc>
          <w:tcPr>
            <w:tcW w:w="900" w:type="dxa"/>
            <w:tcBorders>
              <w:top w:val="nil"/>
              <w:left w:val="nil"/>
              <w:bottom w:val="double" w:sz="6" w:space="0" w:color="1E293B"/>
              <w:right w:val="single" w:sz="4" w:space="0" w:color="E2E8F0"/>
            </w:tcBorders>
            <w:shd w:val="clear" w:color="F8FAFC" w:fill="F8FAFC"/>
            <w:noWrap/>
            <w:vAlign w:val="center"/>
            <w:hideMark/>
          </w:tcPr>
          <w:p w14:paraId="4DF2B6DC"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152,6 ¢/</w:t>
            </w:r>
            <w:proofErr w:type="spellStart"/>
            <w:r w:rsidRPr="00294EC0">
              <w:rPr>
                <w:rFonts w:ascii="Calibri" w:hAnsi="Calibri" w:cs="Calibri"/>
                <w:b/>
                <w:bCs/>
                <w:color w:val="334155"/>
                <w:sz w:val="20"/>
                <w:szCs w:val="20"/>
                <w:lang w:val="en-US" w:eastAsia="en-US"/>
              </w:rPr>
              <w:t>lb</w:t>
            </w:r>
            <w:proofErr w:type="spellEnd"/>
          </w:p>
        </w:tc>
        <w:tc>
          <w:tcPr>
            <w:tcW w:w="900" w:type="dxa"/>
            <w:tcBorders>
              <w:top w:val="nil"/>
              <w:left w:val="nil"/>
              <w:bottom w:val="double" w:sz="6" w:space="0" w:color="1E293B"/>
              <w:right w:val="single" w:sz="4" w:space="0" w:color="E2E8F0"/>
            </w:tcBorders>
            <w:shd w:val="clear" w:color="F8FAFC" w:fill="F8FAFC"/>
            <w:noWrap/>
            <w:vAlign w:val="center"/>
            <w:hideMark/>
          </w:tcPr>
          <w:p w14:paraId="735DFDD8"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125,9 ¢/</w:t>
            </w:r>
            <w:proofErr w:type="spellStart"/>
            <w:r w:rsidRPr="00294EC0">
              <w:rPr>
                <w:rFonts w:ascii="Calibri" w:hAnsi="Calibri" w:cs="Calibri"/>
                <w:b/>
                <w:bCs/>
                <w:color w:val="334155"/>
                <w:sz w:val="20"/>
                <w:szCs w:val="20"/>
                <w:lang w:val="en-US" w:eastAsia="en-US"/>
              </w:rPr>
              <w:t>lb</w:t>
            </w:r>
            <w:proofErr w:type="spellEnd"/>
          </w:p>
        </w:tc>
        <w:tc>
          <w:tcPr>
            <w:tcW w:w="900" w:type="dxa"/>
            <w:tcBorders>
              <w:top w:val="nil"/>
              <w:left w:val="nil"/>
              <w:bottom w:val="double" w:sz="6" w:space="0" w:color="1E293B"/>
              <w:right w:val="single" w:sz="4" w:space="0" w:color="E2E8F0"/>
            </w:tcBorders>
            <w:shd w:val="clear" w:color="F8FAFC" w:fill="F8FAFC"/>
            <w:noWrap/>
            <w:vAlign w:val="center"/>
            <w:hideMark/>
          </w:tcPr>
          <w:p w14:paraId="77E04532"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129,5 ¢/</w:t>
            </w:r>
            <w:proofErr w:type="spellStart"/>
            <w:r w:rsidRPr="00294EC0">
              <w:rPr>
                <w:rFonts w:ascii="Calibri" w:hAnsi="Calibri" w:cs="Calibri"/>
                <w:b/>
                <w:bCs/>
                <w:color w:val="334155"/>
                <w:sz w:val="20"/>
                <w:szCs w:val="20"/>
                <w:lang w:val="en-US" w:eastAsia="en-US"/>
              </w:rPr>
              <w:t>lb</w:t>
            </w:r>
            <w:proofErr w:type="spellEnd"/>
          </w:p>
        </w:tc>
        <w:tc>
          <w:tcPr>
            <w:tcW w:w="990" w:type="dxa"/>
            <w:tcBorders>
              <w:top w:val="nil"/>
              <w:left w:val="nil"/>
              <w:bottom w:val="double" w:sz="6" w:space="0" w:color="1E293B"/>
              <w:right w:val="single" w:sz="4" w:space="0" w:color="E2E8F0"/>
            </w:tcBorders>
            <w:shd w:val="clear" w:color="F8FAFC" w:fill="F8FAFC"/>
            <w:noWrap/>
            <w:vAlign w:val="center"/>
            <w:hideMark/>
          </w:tcPr>
          <w:p w14:paraId="71CB8792" w14:textId="77777777" w:rsidR="00294EC0" w:rsidRPr="00294EC0" w:rsidRDefault="00294EC0" w:rsidP="00294EC0">
            <w:pPr>
              <w:jc w:val="right"/>
              <w:rPr>
                <w:rFonts w:ascii="Calibri" w:hAnsi="Calibri" w:cs="Calibri"/>
                <w:b/>
                <w:bCs/>
                <w:color w:val="334155"/>
                <w:sz w:val="20"/>
                <w:szCs w:val="20"/>
                <w:lang w:val="en-US" w:eastAsia="en-US"/>
              </w:rPr>
            </w:pPr>
            <w:r w:rsidRPr="00294EC0">
              <w:rPr>
                <w:rFonts w:ascii="Calibri" w:hAnsi="Calibri" w:cs="Calibri"/>
                <w:b/>
                <w:bCs/>
                <w:color w:val="334155"/>
                <w:sz w:val="20"/>
                <w:szCs w:val="20"/>
                <w:lang w:val="en-US" w:eastAsia="en-US"/>
              </w:rPr>
              <w:t>180,0 ¢/</w:t>
            </w:r>
            <w:proofErr w:type="spellStart"/>
            <w:r w:rsidRPr="00294EC0">
              <w:rPr>
                <w:rFonts w:ascii="Calibri" w:hAnsi="Calibri" w:cs="Calibri"/>
                <w:b/>
                <w:bCs/>
                <w:color w:val="334155"/>
                <w:sz w:val="20"/>
                <w:szCs w:val="20"/>
                <w:lang w:val="en-US" w:eastAsia="en-US"/>
              </w:rPr>
              <w:t>lb</w:t>
            </w:r>
            <w:proofErr w:type="spellEnd"/>
          </w:p>
        </w:tc>
      </w:tr>
    </w:tbl>
    <w:p w14:paraId="329DDB1A" w14:textId="3A0C3CB6" w:rsidR="008306F3" w:rsidRDefault="008306F3" w:rsidP="00294EC0">
      <w:pPr>
        <w:spacing w:after="240" w:line="276" w:lineRule="auto"/>
        <w:ind w:left="360"/>
        <w:jc w:val="both"/>
        <w:rPr>
          <w:rFonts w:asciiTheme="minorHAnsi" w:hAnsiTheme="minorHAnsi" w:cstheme="minorHAnsi"/>
          <w:sz w:val="22"/>
          <w:szCs w:val="22"/>
        </w:rPr>
      </w:pPr>
    </w:p>
    <w:p w14:paraId="025E22F3" w14:textId="77777777" w:rsidR="00631981" w:rsidRDefault="00631981">
      <w:pPr>
        <w:spacing w:after="200" w:line="276" w:lineRule="auto"/>
        <w:rPr>
          <w:rFonts w:asciiTheme="minorHAnsi" w:hAnsiTheme="minorHAnsi" w:cstheme="minorHAnsi"/>
          <w:b/>
          <w:sz w:val="22"/>
          <w:szCs w:val="22"/>
        </w:rPr>
      </w:pPr>
      <w:r>
        <w:rPr>
          <w:rFonts w:asciiTheme="minorHAnsi" w:hAnsiTheme="minorHAnsi" w:cstheme="minorHAnsi"/>
          <w:b/>
          <w:sz w:val="22"/>
          <w:szCs w:val="22"/>
        </w:rPr>
        <w:br w:type="page"/>
      </w:r>
    </w:p>
    <w:p w14:paraId="4B90FB55" w14:textId="2C31823D" w:rsidR="00631981" w:rsidRPr="006A294B" w:rsidRDefault="00631981" w:rsidP="00631981">
      <w:pPr>
        <w:spacing w:after="240" w:line="276" w:lineRule="auto"/>
        <w:jc w:val="both"/>
        <w:rPr>
          <w:rFonts w:asciiTheme="minorHAnsi" w:hAnsiTheme="minorHAnsi" w:cstheme="minorHAnsi"/>
          <w:b/>
          <w:sz w:val="22"/>
          <w:szCs w:val="22"/>
        </w:rPr>
      </w:pPr>
      <w:r w:rsidRPr="006A294B">
        <w:rPr>
          <w:rFonts w:asciiTheme="minorHAnsi" w:hAnsiTheme="minorHAnsi" w:cstheme="minorHAnsi"/>
          <w:b/>
          <w:sz w:val="22"/>
          <w:szCs w:val="22"/>
        </w:rPr>
        <w:lastRenderedPageBreak/>
        <w:t xml:space="preserve">Δυναμική Διεθνούς Εμπορίου (Εισαγωγές </w:t>
      </w:r>
      <w:proofErr w:type="spellStart"/>
      <w:r w:rsidRPr="006A294B">
        <w:rPr>
          <w:rFonts w:asciiTheme="minorHAnsi" w:hAnsiTheme="minorHAnsi" w:cstheme="minorHAnsi"/>
          <w:b/>
          <w:sz w:val="22"/>
          <w:szCs w:val="22"/>
        </w:rPr>
        <w:t>vs</w:t>
      </w:r>
      <w:proofErr w:type="spellEnd"/>
      <w:r w:rsidRPr="006A294B">
        <w:rPr>
          <w:rFonts w:asciiTheme="minorHAnsi" w:hAnsiTheme="minorHAnsi" w:cstheme="minorHAnsi"/>
          <w:b/>
          <w:sz w:val="22"/>
          <w:szCs w:val="22"/>
        </w:rPr>
        <w:t>. Εξαγωγές)</w:t>
      </w:r>
    </w:p>
    <w:p w14:paraId="1406D1DD" w14:textId="77777777" w:rsidR="00631981" w:rsidRPr="006A294B" w:rsidRDefault="00631981" w:rsidP="00631981">
      <w:p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u w:val="single"/>
        </w:rPr>
        <w:t xml:space="preserve">Εισαγωγές </w:t>
      </w:r>
      <w:r w:rsidRPr="006A294B">
        <w:rPr>
          <w:rFonts w:asciiTheme="minorHAnsi" w:hAnsiTheme="minorHAnsi" w:cstheme="minorHAnsi"/>
          <w:sz w:val="22"/>
          <w:szCs w:val="22"/>
        </w:rPr>
        <w:t xml:space="preserve">(4,400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xml:space="preserve"> Ακατέργαστα/Ημιτελή, 890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Επειδή η εγχώρια πρωτογενής τήξη καλύπτει μόνο ένα μέρος της βιομηχανικής ζήτησης, οι ΗΠΑ εισάγουν πάνω από $10,4 </w:t>
      </w:r>
      <w:r>
        <w:rPr>
          <w:rFonts w:asciiTheme="minorHAnsi" w:hAnsiTheme="minorHAnsi" w:cstheme="minorHAnsi"/>
          <w:sz w:val="22"/>
          <w:szCs w:val="22"/>
        </w:rPr>
        <w:t>δισ.</w:t>
      </w:r>
      <w:r w:rsidRPr="006A294B">
        <w:rPr>
          <w:rFonts w:asciiTheme="minorHAnsi" w:hAnsiTheme="minorHAnsi" w:cstheme="minorHAnsi"/>
          <w:sz w:val="22"/>
          <w:szCs w:val="22"/>
        </w:rPr>
        <w:t xml:space="preserve"> σε ακατέργαστο αλουμίνιο ετησίως. Ο Καναδάς είναι ο κυρίαρχος προμηθευτής, αντιπροσωπεύοντας το 56% των εισαγωγών αλουμινίου των ΗΠΑ (εκμεταλλευόμενος την χαμηλού κόστους υδροηλεκτρική ενέργεια του Κεμπέκ), ακολουθούμενος από τα </w:t>
      </w:r>
      <w:r>
        <w:rPr>
          <w:rFonts w:asciiTheme="minorHAnsi" w:hAnsiTheme="minorHAnsi" w:cstheme="minorHAnsi"/>
          <w:sz w:val="22"/>
          <w:szCs w:val="22"/>
        </w:rPr>
        <w:t>ΗΑΕ</w:t>
      </w:r>
      <w:r w:rsidRPr="006A294B">
        <w:rPr>
          <w:rFonts w:asciiTheme="minorHAnsi" w:hAnsiTheme="minorHAnsi" w:cstheme="minorHAnsi"/>
          <w:sz w:val="22"/>
          <w:szCs w:val="22"/>
        </w:rPr>
        <w:t xml:space="preserve"> (8%), το Μπαχρέιν (4%) και τη Κίνα (3%). Οι εισαγωγές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αυξήθηκαν επίσης (+42% σε ετήσια βάση το 2026) καθώς τα νέα εγχώρια </w:t>
      </w:r>
      <w:proofErr w:type="spellStart"/>
      <w:r w:rsidRPr="006A294B">
        <w:rPr>
          <w:rFonts w:asciiTheme="minorHAnsi" w:hAnsiTheme="minorHAnsi" w:cstheme="minorHAnsi"/>
          <w:sz w:val="22"/>
          <w:szCs w:val="22"/>
        </w:rPr>
        <w:t>ελαστουργεία</w:t>
      </w:r>
      <w:proofErr w:type="spellEnd"/>
      <w:r w:rsidRPr="006A294B">
        <w:rPr>
          <w:rFonts w:asciiTheme="minorHAnsi" w:hAnsiTheme="minorHAnsi" w:cstheme="minorHAnsi"/>
          <w:sz w:val="22"/>
          <w:szCs w:val="22"/>
        </w:rPr>
        <w:t xml:space="preserve"> και εργοστάσια ανακύκλωσης ανταγωνίζονται για πρώτες ύλες.</w:t>
      </w:r>
    </w:p>
    <w:p w14:paraId="64ADB791" w14:textId="77777777" w:rsidR="00631981" w:rsidRDefault="00631981" w:rsidP="00631981">
      <w:pPr>
        <w:spacing w:after="240" w:line="276" w:lineRule="auto"/>
        <w:jc w:val="both"/>
        <w:rPr>
          <w:rFonts w:asciiTheme="minorHAnsi" w:hAnsiTheme="minorHAnsi" w:cstheme="minorHAnsi"/>
          <w:sz w:val="22"/>
          <w:szCs w:val="22"/>
        </w:rPr>
      </w:pPr>
      <w:r w:rsidRPr="006A294B">
        <w:rPr>
          <w:rFonts w:asciiTheme="minorHAnsi" w:hAnsiTheme="minorHAnsi" w:cstheme="minorHAnsi"/>
          <w:sz w:val="22"/>
          <w:szCs w:val="22"/>
          <w:u w:val="single"/>
        </w:rPr>
        <w:t>Εξαγωγές</w:t>
      </w:r>
      <w:r w:rsidRPr="006A294B">
        <w:rPr>
          <w:rFonts w:asciiTheme="minorHAnsi" w:hAnsiTheme="minorHAnsi" w:cstheme="minorHAnsi"/>
          <w:sz w:val="22"/>
          <w:szCs w:val="22"/>
        </w:rPr>
        <w:t xml:space="preserve"> (890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xml:space="preserve"> Ακατέργαστα/Ημιτελή, 2,200 </w:t>
      </w:r>
      <w:proofErr w:type="spellStart"/>
      <w:r w:rsidRPr="006A294B">
        <w:rPr>
          <w:rFonts w:asciiTheme="minorHAnsi" w:hAnsiTheme="minorHAnsi" w:cstheme="minorHAnsi"/>
          <w:sz w:val="22"/>
          <w:szCs w:val="22"/>
        </w:rPr>
        <w:t>kt</w:t>
      </w:r>
      <w:proofErr w:type="spellEnd"/>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Παρ</w:t>
      </w:r>
      <w:r>
        <w:rPr>
          <w:rFonts w:asciiTheme="minorHAnsi" w:hAnsiTheme="minorHAnsi" w:cstheme="minorHAnsi"/>
          <w:sz w:val="22"/>
          <w:szCs w:val="22"/>
        </w:rPr>
        <w:t xml:space="preserve">’ </w:t>
      </w:r>
      <w:r w:rsidRPr="006A294B">
        <w:rPr>
          <w:rFonts w:asciiTheme="minorHAnsi" w:hAnsiTheme="minorHAnsi" w:cstheme="minorHAnsi"/>
          <w:sz w:val="22"/>
          <w:szCs w:val="22"/>
        </w:rPr>
        <w:t xml:space="preserve">όλο που οι ΗΠΑ είναι μεγάλος καθαρός εισαγωγέας πρωτογενούς και ημιτελούς μετάλλου (διοχετεύοντας κυρίως στο Μεξικό και τον Καναδά για τις ολοκληρωμένες αλυσίδες εφοδιασμού αυτοκινήτων της Βόρειας Αμερικής), είναι ένας τεράστιος καθαρός εξαγωγέας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αλουμινίου. Πάνω από 2,2 εκατομμύρια μετρικοί τόνοι χαμηλότερης ποιότητας ή αναμεμειγμένου </w:t>
      </w:r>
      <w:proofErr w:type="spellStart"/>
      <w:r w:rsidRPr="006A294B">
        <w:rPr>
          <w:rFonts w:asciiTheme="minorHAnsi" w:hAnsiTheme="minorHAnsi" w:cstheme="minorHAnsi"/>
          <w:sz w:val="22"/>
          <w:szCs w:val="22"/>
        </w:rPr>
        <w:t>σκραπ</w:t>
      </w:r>
      <w:proofErr w:type="spellEnd"/>
      <w:r w:rsidRPr="006A294B">
        <w:rPr>
          <w:rFonts w:asciiTheme="minorHAnsi" w:hAnsiTheme="minorHAnsi" w:cstheme="minorHAnsi"/>
          <w:sz w:val="22"/>
          <w:szCs w:val="22"/>
        </w:rPr>
        <w:t xml:space="preserve"> </w:t>
      </w:r>
      <w:proofErr w:type="spellStart"/>
      <w:r w:rsidRPr="006A294B">
        <w:rPr>
          <w:rFonts w:asciiTheme="minorHAnsi" w:hAnsiTheme="minorHAnsi" w:cstheme="minorHAnsi"/>
          <w:sz w:val="22"/>
          <w:szCs w:val="22"/>
        </w:rPr>
        <w:t>εξαγονται</w:t>
      </w:r>
      <w:proofErr w:type="spellEnd"/>
      <w:r w:rsidRPr="006A294B">
        <w:rPr>
          <w:rFonts w:asciiTheme="minorHAnsi" w:hAnsiTheme="minorHAnsi" w:cstheme="minorHAnsi"/>
          <w:sz w:val="22"/>
          <w:szCs w:val="22"/>
        </w:rPr>
        <w:t xml:space="preserve"> ετησίως σε κέντρα </w:t>
      </w:r>
      <w:proofErr w:type="spellStart"/>
      <w:r w:rsidRPr="006A294B">
        <w:rPr>
          <w:rFonts w:asciiTheme="minorHAnsi" w:hAnsiTheme="minorHAnsi" w:cstheme="minorHAnsi"/>
          <w:sz w:val="22"/>
          <w:szCs w:val="22"/>
        </w:rPr>
        <w:t>επανεπεξεργασίας</w:t>
      </w:r>
      <w:proofErr w:type="spellEnd"/>
      <w:r w:rsidRPr="006A294B">
        <w:rPr>
          <w:rFonts w:asciiTheme="minorHAnsi" w:hAnsiTheme="minorHAnsi" w:cstheme="minorHAnsi"/>
          <w:sz w:val="22"/>
          <w:szCs w:val="22"/>
        </w:rPr>
        <w:t xml:space="preserve"> στη Μαλαισία, το Μεξικό, την Ινδία και τη Νότια Κορέα, όπου ταξινομούνται και </w:t>
      </w:r>
      <w:proofErr w:type="spellStart"/>
      <w:r w:rsidRPr="006A294B">
        <w:rPr>
          <w:rFonts w:asciiTheme="minorHAnsi" w:hAnsiTheme="minorHAnsi" w:cstheme="minorHAnsi"/>
          <w:sz w:val="22"/>
          <w:szCs w:val="22"/>
        </w:rPr>
        <w:t>επανατήκονται</w:t>
      </w:r>
      <w:proofErr w:type="spellEnd"/>
      <w:r w:rsidRPr="006A294B">
        <w:rPr>
          <w:rFonts w:asciiTheme="minorHAnsi" w:hAnsiTheme="minorHAnsi" w:cstheme="minorHAnsi"/>
          <w:sz w:val="22"/>
          <w:szCs w:val="22"/>
        </w:rPr>
        <w:t>.</w:t>
      </w:r>
    </w:p>
    <w:p w14:paraId="77681CED" w14:textId="77777777" w:rsidR="00631981" w:rsidRDefault="00631981" w:rsidP="00631981">
      <w:pPr>
        <w:spacing w:after="240" w:line="276" w:lineRule="auto"/>
        <w:jc w:val="both"/>
        <w:rPr>
          <w:rFonts w:asciiTheme="minorHAnsi" w:hAnsiTheme="minorHAnsi" w:cstheme="minorHAnsi"/>
          <w:sz w:val="22"/>
          <w:szCs w:val="22"/>
        </w:rPr>
      </w:pPr>
    </w:p>
    <w:p w14:paraId="2CB53A05" w14:textId="77777777" w:rsidR="00631981" w:rsidRPr="00B92E17" w:rsidRDefault="00631981" w:rsidP="00631981">
      <w:pPr>
        <w:spacing w:line="276" w:lineRule="auto"/>
        <w:rPr>
          <w:rFonts w:asciiTheme="minorHAnsi" w:hAnsiTheme="minorHAnsi" w:cstheme="minorHAnsi"/>
          <w:b/>
          <w:sz w:val="22"/>
          <w:szCs w:val="22"/>
        </w:rPr>
      </w:pPr>
      <w:r w:rsidRPr="00B92E17">
        <w:rPr>
          <w:rFonts w:asciiTheme="minorHAnsi" w:hAnsiTheme="minorHAnsi" w:cstheme="minorHAnsi"/>
          <w:b/>
          <w:sz w:val="22"/>
          <w:szCs w:val="22"/>
        </w:rPr>
        <w:t>Προοπτικές</w:t>
      </w:r>
      <w:r>
        <w:rPr>
          <w:rFonts w:asciiTheme="minorHAnsi" w:hAnsiTheme="minorHAnsi" w:cstheme="minorHAnsi"/>
          <w:b/>
          <w:sz w:val="22"/>
          <w:szCs w:val="22"/>
        </w:rPr>
        <w:t xml:space="preserve"> για το ελληνικό αλουμίνιο</w:t>
      </w:r>
      <w:r w:rsidRPr="00B92E17">
        <w:rPr>
          <w:rFonts w:asciiTheme="minorHAnsi" w:hAnsiTheme="minorHAnsi" w:cstheme="minorHAnsi"/>
          <w:b/>
          <w:sz w:val="22"/>
          <w:szCs w:val="22"/>
        </w:rPr>
        <w:t>:</w:t>
      </w:r>
    </w:p>
    <w:p w14:paraId="6EF47F4F" w14:textId="2C0A7151" w:rsidR="00631981" w:rsidRDefault="00631981" w:rsidP="00631981">
      <w:pPr>
        <w:spacing w:after="240" w:line="276" w:lineRule="auto"/>
        <w:jc w:val="both"/>
        <w:rPr>
          <w:rFonts w:asciiTheme="minorHAnsi" w:hAnsiTheme="minorHAnsi" w:cstheme="minorHAnsi"/>
          <w:sz w:val="22"/>
          <w:szCs w:val="22"/>
        </w:rPr>
      </w:pPr>
      <w:r w:rsidRPr="00B92E17">
        <w:rPr>
          <w:rFonts w:asciiTheme="minorHAnsi" w:hAnsiTheme="minorHAnsi" w:cstheme="minorHAnsi"/>
          <w:sz w:val="22"/>
          <w:szCs w:val="22"/>
        </w:rPr>
        <w:t xml:space="preserve">Εκτιμούμε ότι η αυξητική τάση για τις ελληνικές εξαγωγές </w:t>
      </w:r>
      <w:r>
        <w:rPr>
          <w:rFonts w:asciiTheme="minorHAnsi" w:hAnsiTheme="minorHAnsi" w:cstheme="minorHAnsi"/>
          <w:sz w:val="22"/>
          <w:szCs w:val="22"/>
        </w:rPr>
        <w:t xml:space="preserve">ενδιαμέσων προϊόντων </w:t>
      </w:r>
      <w:r w:rsidRPr="00B92E17">
        <w:rPr>
          <w:rFonts w:asciiTheme="minorHAnsi" w:hAnsiTheme="minorHAnsi" w:cstheme="minorHAnsi"/>
          <w:sz w:val="22"/>
          <w:szCs w:val="22"/>
        </w:rPr>
        <w:t xml:space="preserve">αλουμινίου </w:t>
      </w:r>
      <w:r>
        <w:rPr>
          <w:rFonts w:asciiTheme="minorHAnsi" w:hAnsiTheme="minorHAnsi" w:cstheme="minorHAnsi"/>
          <w:sz w:val="22"/>
          <w:szCs w:val="22"/>
        </w:rPr>
        <w:t xml:space="preserve">(πλάκες, φύλλα, κλπ.) </w:t>
      </w:r>
      <w:r w:rsidRPr="00B92E17">
        <w:rPr>
          <w:rFonts w:asciiTheme="minorHAnsi" w:hAnsiTheme="minorHAnsi" w:cstheme="minorHAnsi"/>
          <w:sz w:val="22"/>
          <w:szCs w:val="22"/>
        </w:rPr>
        <w:t>θα διατηρηθεί, δεδομένου ότι η εγχώρια παραγωγή αλουμινίου δεν αρκεί για να καλύψει την εγχώρια ζήτηση και δεν υπάρχει δυνα</w:t>
      </w:r>
      <w:r>
        <w:rPr>
          <w:rFonts w:asciiTheme="minorHAnsi" w:hAnsiTheme="minorHAnsi" w:cstheme="minorHAnsi"/>
          <w:sz w:val="22"/>
          <w:szCs w:val="22"/>
        </w:rPr>
        <w:t>τ</w:t>
      </w:r>
      <w:r w:rsidRPr="00B92E17">
        <w:rPr>
          <w:rFonts w:asciiTheme="minorHAnsi" w:hAnsiTheme="minorHAnsi" w:cstheme="minorHAnsi"/>
          <w:sz w:val="22"/>
          <w:szCs w:val="22"/>
        </w:rPr>
        <w:t>ότητα αύξησης της παραγωγής τα επόμενα χρόνια, όπως θα παραθέσουμε στην συνέχεια.</w:t>
      </w:r>
      <w:r>
        <w:rPr>
          <w:rFonts w:asciiTheme="minorHAnsi" w:hAnsiTheme="minorHAnsi" w:cstheme="minorHAnsi"/>
          <w:sz w:val="22"/>
          <w:szCs w:val="22"/>
        </w:rPr>
        <w:t xml:space="preserve"> Σε ό,τι αφορά τα προϊόντα προφίλ, καταναλωτικά, κουφώματα, κλπ., ισχύει αντιστοίχως ότι η εγχώρια παραγωγή δεν επαρκεί για να καλύψει την ζήτηση. Συνεπώς, όσο η αγορά θα απορροφά την αύξηση των τιμών λόγω δασμών, ενδέχεται να ανακάμψει και να συνεπιφέρει αύξηση εισαγωγών.</w:t>
      </w:r>
    </w:p>
    <w:p w14:paraId="27AA0805" w14:textId="77777777" w:rsidR="00320C8A" w:rsidRDefault="00320C8A" w:rsidP="00631981">
      <w:pPr>
        <w:spacing w:after="240" w:line="276" w:lineRule="auto"/>
        <w:jc w:val="both"/>
        <w:rPr>
          <w:rFonts w:asciiTheme="minorHAnsi" w:hAnsiTheme="minorHAnsi" w:cstheme="minorHAnsi"/>
          <w:sz w:val="22"/>
          <w:szCs w:val="22"/>
        </w:rPr>
      </w:pPr>
    </w:p>
    <w:p w14:paraId="295D0DC7" w14:textId="77777777" w:rsidR="00320C8A" w:rsidRPr="006038F0" w:rsidRDefault="00320C8A" w:rsidP="00320C8A">
      <w:pPr>
        <w:tabs>
          <w:tab w:val="center" w:pos="5040"/>
          <w:tab w:val="center" w:pos="5760"/>
        </w:tabs>
        <w:rPr>
          <w:rFonts w:asciiTheme="minorHAnsi" w:hAnsiTheme="minorHAnsi" w:cstheme="minorHAnsi"/>
          <w:sz w:val="22"/>
          <w:szCs w:val="22"/>
        </w:rPr>
      </w:pPr>
      <w:r w:rsidRPr="003B51BB">
        <w:rPr>
          <w:rFonts w:ascii="Arial" w:hAnsi="Arial" w:cs="Arial"/>
          <w:sz w:val="20"/>
          <w:szCs w:val="20"/>
        </w:rPr>
        <w:tab/>
      </w:r>
      <w:r w:rsidRPr="006038F0">
        <w:rPr>
          <w:rFonts w:asciiTheme="minorHAnsi" w:hAnsiTheme="minorHAnsi" w:cstheme="minorHAnsi"/>
          <w:sz w:val="22"/>
          <w:szCs w:val="22"/>
        </w:rPr>
        <w:t>Διονύσης Πρωτοπαπάς</w:t>
      </w:r>
    </w:p>
    <w:p w14:paraId="03CDC36E" w14:textId="61273824" w:rsidR="00631981" w:rsidRDefault="00320C8A" w:rsidP="00320C8A">
      <w:pPr>
        <w:tabs>
          <w:tab w:val="center" w:pos="5040"/>
        </w:tabs>
        <w:jc w:val="both"/>
        <w:rPr>
          <w:rFonts w:asciiTheme="minorHAnsi" w:hAnsiTheme="minorHAnsi" w:cstheme="minorHAnsi"/>
          <w:sz w:val="22"/>
          <w:szCs w:val="22"/>
        </w:rPr>
      </w:pPr>
      <w:r w:rsidRPr="006038F0">
        <w:rPr>
          <w:rFonts w:asciiTheme="minorHAnsi" w:hAnsiTheme="minorHAnsi" w:cstheme="minorHAnsi"/>
          <w:sz w:val="22"/>
          <w:szCs w:val="22"/>
        </w:rPr>
        <w:tab/>
        <w:t>Γεν. Σύμβουλος</w:t>
      </w:r>
      <w:r>
        <w:rPr>
          <w:rFonts w:asciiTheme="minorHAnsi" w:hAnsiTheme="minorHAnsi" w:cstheme="minorHAnsi"/>
          <w:sz w:val="22"/>
          <w:szCs w:val="22"/>
        </w:rPr>
        <w:t xml:space="preserve"> Α’ </w:t>
      </w:r>
      <w:r w:rsidRPr="006038F0">
        <w:rPr>
          <w:rFonts w:asciiTheme="minorHAnsi" w:hAnsiTheme="minorHAnsi" w:cstheme="minorHAnsi"/>
          <w:sz w:val="22"/>
          <w:szCs w:val="22"/>
        </w:rPr>
        <w:t>ΟΕΥ</w:t>
      </w:r>
    </w:p>
    <w:p w14:paraId="1DC6F647" w14:textId="77777777" w:rsidR="00631981" w:rsidRDefault="00631981" w:rsidP="00631981">
      <w:pPr>
        <w:spacing w:after="240" w:line="276" w:lineRule="auto"/>
        <w:jc w:val="both"/>
        <w:rPr>
          <w:rFonts w:asciiTheme="minorHAnsi" w:hAnsiTheme="minorHAnsi" w:cstheme="minorHAnsi"/>
          <w:sz w:val="22"/>
          <w:szCs w:val="22"/>
        </w:rPr>
      </w:pPr>
    </w:p>
    <w:p w14:paraId="74E2C48D" w14:textId="77777777" w:rsidR="00631981" w:rsidRDefault="00631981" w:rsidP="00631981">
      <w:pPr>
        <w:spacing w:after="240" w:line="276" w:lineRule="auto"/>
        <w:jc w:val="both"/>
        <w:rPr>
          <w:rFonts w:asciiTheme="minorHAnsi" w:hAnsiTheme="minorHAnsi" w:cstheme="minorHAnsi"/>
          <w:sz w:val="22"/>
          <w:szCs w:val="22"/>
        </w:rPr>
      </w:pPr>
    </w:p>
    <w:p w14:paraId="3A9B4F5B" w14:textId="77777777" w:rsidR="00631981" w:rsidRPr="006A294B" w:rsidRDefault="00631981" w:rsidP="00631981">
      <w:pPr>
        <w:spacing w:after="240" w:line="276" w:lineRule="auto"/>
        <w:jc w:val="both"/>
        <w:rPr>
          <w:rFonts w:asciiTheme="minorHAnsi" w:hAnsiTheme="minorHAnsi" w:cstheme="minorHAnsi"/>
          <w:sz w:val="22"/>
          <w:szCs w:val="22"/>
        </w:rPr>
      </w:pPr>
    </w:p>
    <w:p w14:paraId="734032E4" w14:textId="77777777" w:rsidR="00631981" w:rsidRPr="006A294B" w:rsidRDefault="00631981" w:rsidP="00631981">
      <w:pPr>
        <w:spacing w:after="240" w:line="276" w:lineRule="auto"/>
        <w:jc w:val="both"/>
        <w:rPr>
          <w:rFonts w:asciiTheme="minorHAnsi" w:hAnsiTheme="minorHAnsi" w:cstheme="minorHAnsi"/>
          <w:b/>
          <w:sz w:val="22"/>
          <w:szCs w:val="22"/>
        </w:rPr>
      </w:pPr>
    </w:p>
    <w:p w14:paraId="00ED570F" w14:textId="77777777" w:rsidR="00631981" w:rsidRDefault="00631981" w:rsidP="00631981">
      <w:pPr>
        <w:spacing w:after="240" w:line="276" w:lineRule="auto"/>
        <w:jc w:val="both"/>
        <w:rPr>
          <w:rFonts w:asciiTheme="minorHAnsi" w:hAnsiTheme="minorHAnsi" w:cstheme="minorHAnsi"/>
          <w:sz w:val="22"/>
          <w:szCs w:val="22"/>
        </w:rPr>
      </w:pPr>
    </w:p>
    <w:p w14:paraId="0281E092" w14:textId="77777777" w:rsidR="00631981" w:rsidRPr="00E6155A" w:rsidRDefault="00631981" w:rsidP="00294EC0">
      <w:pPr>
        <w:spacing w:after="240" w:line="276" w:lineRule="auto"/>
        <w:ind w:left="360"/>
        <w:jc w:val="both"/>
        <w:rPr>
          <w:rFonts w:asciiTheme="minorHAnsi" w:hAnsiTheme="minorHAnsi" w:cstheme="minorHAnsi"/>
          <w:sz w:val="22"/>
          <w:szCs w:val="22"/>
        </w:rPr>
      </w:pPr>
    </w:p>
    <w:sectPr w:rsidR="00631981" w:rsidRPr="00E6155A" w:rsidSect="00113BE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080D2C" w14:textId="77777777" w:rsidR="006A294B" w:rsidRDefault="006A294B" w:rsidP="00ED0F59">
      <w:r>
        <w:separator/>
      </w:r>
    </w:p>
  </w:endnote>
  <w:endnote w:type="continuationSeparator" w:id="0">
    <w:p w14:paraId="2D004DA1" w14:textId="77777777" w:rsidR="006A294B" w:rsidRDefault="006A294B" w:rsidP="00ED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789146"/>
      <w:docPartObj>
        <w:docPartGallery w:val="Page Numbers (Bottom of Page)"/>
        <w:docPartUnique/>
      </w:docPartObj>
    </w:sdtPr>
    <w:sdtEndPr>
      <w:rPr>
        <w:noProof/>
      </w:rPr>
    </w:sdtEndPr>
    <w:sdtContent>
      <w:p w14:paraId="72D24C52" w14:textId="4F69CA81" w:rsidR="00651667" w:rsidRDefault="006516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4B3E49" w14:textId="77777777" w:rsidR="00651667" w:rsidRDefault="006516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EDE0B" w14:textId="77777777" w:rsidR="006A294B" w:rsidRDefault="006A294B" w:rsidP="00ED0F59">
      <w:r>
        <w:separator/>
      </w:r>
    </w:p>
  </w:footnote>
  <w:footnote w:type="continuationSeparator" w:id="0">
    <w:p w14:paraId="60103A6F" w14:textId="77777777" w:rsidR="006A294B" w:rsidRDefault="006A294B" w:rsidP="00ED0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63550"/>
    <w:multiLevelType w:val="hybridMultilevel"/>
    <w:tmpl w:val="D236F112"/>
    <w:lvl w:ilvl="0" w:tplc="186681E0">
      <w:numFmt w:val="bullet"/>
      <w:lvlText w:val="-"/>
      <w:lvlJc w:val="left"/>
      <w:pPr>
        <w:ind w:left="76" w:hanging="360"/>
      </w:pPr>
      <w:rPr>
        <w:rFonts w:ascii="Arial" w:eastAsia="Times New Roman" w:hAnsi="Arial" w:cs="Arial"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 w15:restartNumberingAfterBreak="0">
    <w:nsid w:val="08444545"/>
    <w:multiLevelType w:val="hybridMultilevel"/>
    <w:tmpl w:val="A718C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6275A"/>
    <w:multiLevelType w:val="hybridMultilevel"/>
    <w:tmpl w:val="71203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84D2C"/>
    <w:multiLevelType w:val="multilevel"/>
    <w:tmpl w:val="C464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D418D"/>
    <w:multiLevelType w:val="hybridMultilevel"/>
    <w:tmpl w:val="17022C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9E5604"/>
    <w:multiLevelType w:val="hybridMultilevel"/>
    <w:tmpl w:val="55B8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C005EB"/>
    <w:multiLevelType w:val="multilevel"/>
    <w:tmpl w:val="9140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A91BC2"/>
    <w:multiLevelType w:val="hybridMultilevel"/>
    <w:tmpl w:val="3B7C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71A8F"/>
    <w:multiLevelType w:val="multilevel"/>
    <w:tmpl w:val="358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F34BC0"/>
    <w:multiLevelType w:val="multilevel"/>
    <w:tmpl w:val="B67E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0226E"/>
    <w:multiLevelType w:val="hybridMultilevel"/>
    <w:tmpl w:val="324CF4A2"/>
    <w:lvl w:ilvl="0" w:tplc="C7B2A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2E3B6D"/>
    <w:multiLevelType w:val="hybridMultilevel"/>
    <w:tmpl w:val="02EED3B0"/>
    <w:lvl w:ilvl="0" w:tplc="34B8F99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145519"/>
    <w:multiLevelType w:val="hybridMultilevel"/>
    <w:tmpl w:val="A718C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C44D95"/>
    <w:multiLevelType w:val="multilevel"/>
    <w:tmpl w:val="2092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3E267C"/>
    <w:multiLevelType w:val="hybridMultilevel"/>
    <w:tmpl w:val="44C226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6E95155"/>
    <w:multiLevelType w:val="hybridMultilevel"/>
    <w:tmpl w:val="621C5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53B08"/>
    <w:multiLevelType w:val="hybridMultilevel"/>
    <w:tmpl w:val="DF2E9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ECE2E78"/>
    <w:multiLevelType w:val="hybridMultilevel"/>
    <w:tmpl w:val="F702ADC2"/>
    <w:lvl w:ilvl="0" w:tplc="C1D22B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226901"/>
    <w:multiLevelType w:val="hybridMultilevel"/>
    <w:tmpl w:val="66F8B220"/>
    <w:lvl w:ilvl="0" w:tplc="41DCED9E">
      <w:numFmt w:val="bullet"/>
      <w:lvlText w:val="-"/>
      <w:lvlJc w:val="left"/>
      <w:pPr>
        <w:ind w:left="270" w:hanging="360"/>
      </w:pPr>
      <w:rPr>
        <w:rFonts w:ascii="Arial" w:eastAsia="Times New Roman" w:hAnsi="Aria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9" w15:restartNumberingAfterBreak="0">
    <w:nsid w:val="79591623"/>
    <w:multiLevelType w:val="hybridMultilevel"/>
    <w:tmpl w:val="C0D8C2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B5D0125"/>
    <w:multiLevelType w:val="hybridMultilevel"/>
    <w:tmpl w:val="4EFC7B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7D295C2F"/>
    <w:multiLevelType w:val="hybridMultilevel"/>
    <w:tmpl w:val="5C6878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7"/>
  </w:num>
  <w:num w:numId="2">
    <w:abstractNumId w:val="2"/>
  </w:num>
  <w:num w:numId="3">
    <w:abstractNumId w:val="10"/>
  </w:num>
  <w:num w:numId="4">
    <w:abstractNumId w:val="11"/>
  </w:num>
  <w:num w:numId="5">
    <w:abstractNumId w:val="3"/>
  </w:num>
  <w:num w:numId="6">
    <w:abstractNumId w:val="6"/>
  </w:num>
  <w:num w:numId="7">
    <w:abstractNumId w:val="14"/>
  </w:num>
  <w:num w:numId="8">
    <w:abstractNumId w:val="0"/>
  </w:num>
  <w:num w:numId="9">
    <w:abstractNumId w:val="20"/>
  </w:num>
  <w:num w:numId="10">
    <w:abstractNumId w:val="18"/>
  </w:num>
  <w:num w:numId="11">
    <w:abstractNumId w:val="19"/>
  </w:num>
  <w:num w:numId="12">
    <w:abstractNumId w:val="4"/>
  </w:num>
  <w:num w:numId="13">
    <w:abstractNumId w:val="5"/>
  </w:num>
  <w:num w:numId="14">
    <w:abstractNumId w:val="16"/>
  </w:num>
  <w:num w:numId="15">
    <w:abstractNumId w:val="21"/>
  </w:num>
  <w:num w:numId="16">
    <w:abstractNumId w:val="15"/>
  </w:num>
  <w:num w:numId="17">
    <w:abstractNumId w:val="12"/>
  </w:num>
  <w:num w:numId="18">
    <w:abstractNumId w:val="1"/>
  </w:num>
  <w:num w:numId="19">
    <w:abstractNumId w:val="8"/>
  </w:num>
  <w:num w:numId="20">
    <w:abstractNumId w:val="9"/>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96"/>
    <w:rsid w:val="00000999"/>
    <w:rsid w:val="00000EFC"/>
    <w:rsid w:val="000024D4"/>
    <w:rsid w:val="0000499E"/>
    <w:rsid w:val="00011BEA"/>
    <w:rsid w:val="00011CD2"/>
    <w:rsid w:val="00014B2B"/>
    <w:rsid w:val="00015900"/>
    <w:rsid w:val="000165CA"/>
    <w:rsid w:val="00020A55"/>
    <w:rsid w:val="000243DD"/>
    <w:rsid w:val="00024E7A"/>
    <w:rsid w:val="00025526"/>
    <w:rsid w:val="00040564"/>
    <w:rsid w:val="00040C6A"/>
    <w:rsid w:val="000534AC"/>
    <w:rsid w:val="000573E4"/>
    <w:rsid w:val="00057C17"/>
    <w:rsid w:val="000736EA"/>
    <w:rsid w:val="00077307"/>
    <w:rsid w:val="0007753B"/>
    <w:rsid w:val="000817CA"/>
    <w:rsid w:val="0008264F"/>
    <w:rsid w:val="00085D89"/>
    <w:rsid w:val="00086884"/>
    <w:rsid w:val="00093797"/>
    <w:rsid w:val="00093863"/>
    <w:rsid w:val="000A03A8"/>
    <w:rsid w:val="000A4B7F"/>
    <w:rsid w:val="000A6FB7"/>
    <w:rsid w:val="000A7555"/>
    <w:rsid w:val="000C51E5"/>
    <w:rsid w:val="000C7E54"/>
    <w:rsid w:val="000D3E96"/>
    <w:rsid w:val="000D4A4E"/>
    <w:rsid w:val="000D6674"/>
    <w:rsid w:val="000E142D"/>
    <w:rsid w:val="000E37E4"/>
    <w:rsid w:val="000E4372"/>
    <w:rsid w:val="000E76F2"/>
    <w:rsid w:val="000F2867"/>
    <w:rsid w:val="000F2FDD"/>
    <w:rsid w:val="000F615D"/>
    <w:rsid w:val="00101E7D"/>
    <w:rsid w:val="00101F93"/>
    <w:rsid w:val="00104483"/>
    <w:rsid w:val="00106CA8"/>
    <w:rsid w:val="00113BE7"/>
    <w:rsid w:val="0011485C"/>
    <w:rsid w:val="00120B26"/>
    <w:rsid w:val="00122810"/>
    <w:rsid w:val="00125986"/>
    <w:rsid w:val="00134414"/>
    <w:rsid w:val="00137237"/>
    <w:rsid w:val="0014057B"/>
    <w:rsid w:val="00140C5F"/>
    <w:rsid w:val="00141FE2"/>
    <w:rsid w:val="00146D8E"/>
    <w:rsid w:val="001525EE"/>
    <w:rsid w:val="001530B3"/>
    <w:rsid w:val="00154181"/>
    <w:rsid w:val="00160B57"/>
    <w:rsid w:val="0016203D"/>
    <w:rsid w:val="00163CCF"/>
    <w:rsid w:val="00173A74"/>
    <w:rsid w:val="00174094"/>
    <w:rsid w:val="00175C97"/>
    <w:rsid w:val="00186189"/>
    <w:rsid w:val="00187FDF"/>
    <w:rsid w:val="00190CA6"/>
    <w:rsid w:val="00193471"/>
    <w:rsid w:val="00193F20"/>
    <w:rsid w:val="001A22CE"/>
    <w:rsid w:val="001A346B"/>
    <w:rsid w:val="001B0552"/>
    <w:rsid w:val="001B1E23"/>
    <w:rsid w:val="001B37F2"/>
    <w:rsid w:val="001B3800"/>
    <w:rsid w:val="001B6E2F"/>
    <w:rsid w:val="001B75DC"/>
    <w:rsid w:val="001C46E9"/>
    <w:rsid w:val="001C7C2F"/>
    <w:rsid w:val="001D16E6"/>
    <w:rsid w:val="001D41A8"/>
    <w:rsid w:val="001E499F"/>
    <w:rsid w:val="001E5B93"/>
    <w:rsid w:val="001E750D"/>
    <w:rsid w:val="001F028C"/>
    <w:rsid w:val="001F3212"/>
    <w:rsid w:val="001F5379"/>
    <w:rsid w:val="001F5DD6"/>
    <w:rsid w:val="0020191B"/>
    <w:rsid w:val="002076DF"/>
    <w:rsid w:val="002102F0"/>
    <w:rsid w:val="002110EB"/>
    <w:rsid w:val="002145CB"/>
    <w:rsid w:val="00215CE6"/>
    <w:rsid w:val="0022399D"/>
    <w:rsid w:val="00224C4A"/>
    <w:rsid w:val="0022790A"/>
    <w:rsid w:val="0023260B"/>
    <w:rsid w:val="00233F96"/>
    <w:rsid w:val="00236858"/>
    <w:rsid w:val="00236D0A"/>
    <w:rsid w:val="00240856"/>
    <w:rsid w:val="002419BA"/>
    <w:rsid w:val="002428D9"/>
    <w:rsid w:val="00242F64"/>
    <w:rsid w:val="00245AF3"/>
    <w:rsid w:val="00245DAB"/>
    <w:rsid w:val="002462E8"/>
    <w:rsid w:val="00250183"/>
    <w:rsid w:val="00250B24"/>
    <w:rsid w:val="002523BB"/>
    <w:rsid w:val="00252C73"/>
    <w:rsid w:val="002531E9"/>
    <w:rsid w:val="00257327"/>
    <w:rsid w:val="00262CCB"/>
    <w:rsid w:val="00263026"/>
    <w:rsid w:val="00264973"/>
    <w:rsid w:val="0026568F"/>
    <w:rsid w:val="002668B7"/>
    <w:rsid w:val="002678FC"/>
    <w:rsid w:val="00267FD2"/>
    <w:rsid w:val="00275F17"/>
    <w:rsid w:val="00276AF6"/>
    <w:rsid w:val="00276C39"/>
    <w:rsid w:val="0028230E"/>
    <w:rsid w:val="00285F0E"/>
    <w:rsid w:val="002935CD"/>
    <w:rsid w:val="00294DC7"/>
    <w:rsid w:val="00294EC0"/>
    <w:rsid w:val="002A3F58"/>
    <w:rsid w:val="002A45EA"/>
    <w:rsid w:val="002B53DC"/>
    <w:rsid w:val="002B7CB3"/>
    <w:rsid w:val="002C4800"/>
    <w:rsid w:val="002C5897"/>
    <w:rsid w:val="002D0F64"/>
    <w:rsid w:val="002D3DF2"/>
    <w:rsid w:val="002D430C"/>
    <w:rsid w:val="002E1797"/>
    <w:rsid w:val="002E2F0D"/>
    <w:rsid w:val="002E6F3D"/>
    <w:rsid w:val="002F067D"/>
    <w:rsid w:val="002F32B2"/>
    <w:rsid w:val="002F3CA0"/>
    <w:rsid w:val="002F549D"/>
    <w:rsid w:val="002F54CD"/>
    <w:rsid w:val="002F78C3"/>
    <w:rsid w:val="003012DA"/>
    <w:rsid w:val="00302120"/>
    <w:rsid w:val="003030BD"/>
    <w:rsid w:val="00304B38"/>
    <w:rsid w:val="003056B3"/>
    <w:rsid w:val="003063D1"/>
    <w:rsid w:val="00315BD7"/>
    <w:rsid w:val="0031656C"/>
    <w:rsid w:val="00320C8A"/>
    <w:rsid w:val="00325C0C"/>
    <w:rsid w:val="0033495E"/>
    <w:rsid w:val="00334A56"/>
    <w:rsid w:val="003361BD"/>
    <w:rsid w:val="0034571D"/>
    <w:rsid w:val="00355B10"/>
    <w:rsid w:val="00355D7D"/>
    <w:rsid w:val="00355EF6"/>
    <w:rsid w:val="0035794B"/>
    <w:rsid w:val="00361318"/>
    <w:rsid w:val="003624C6"/>
    <w:rsid w:val="00364F14"/>
    <w:rsid w:val="00371A56"/>
    <w:rsid w:val="003748D7"/>
    <w:rsid w:val="0037558B"/>
    <w:rsid w:val="003755AF"/>
    <w:rsid w:val="003758B7"/>
    <w:rsid w:val="00376939"/>
    <w:rsid w:val="00376CED"/>
    <w:rsid w:val="00381916"/>
    <w:rsid w:val="003859B6"/>
    <w:rsid w:val="00385DE3"/>
    <w:rsid w:val="00386239"/>
    <w:rsid w:val="00386FD1"/>
    <w:rsid w:val="00394F1F"/>
    <w:rsid w:val="00395FE2"/>
    <w:rsid w:val="003A0736"/>
    <w:rsid w:val="003A38F9"/>
    <w:rsid w:val="003A7F99"/>
    <w:rsid w:val="003B1C98"/>
    <w:rsid w:val="003B3D58"/>
    <w:rsid w:val="003B6467"/>
    <w:rsid w:val="003C07A6"/>
    <w:rsid w:val="003C670C"/>
    <w:rsid w:val="003C6D1E"/>
    <w:rsid w:val="003C70D2"/>
    <w:rsid w:val="003D18E4"/>
    <w:rsid w:val="003D205F"/>
    <w:rsid w:val="003D65CA"/>
    <w:rsid w:val="003D738A"/>
    <w:rsid w:val="003F2EB7"/>
    <w:rsid w:val="003F3914"/>
    <w:rsid w:val="003F605F"/>
    <w:rsid w:val="00401F5D"/>
    <w:rsid w:val="0040240C"/>
    <w:rsid w:val="00415802"/>
    <w:rsid w:val="00420725"/>
    <w:rsid w:val="00421473"/>
    <w:rsid w:val="004215A9"/>
    <w:rsid w:val="00430843"/>
    <w:rsid w:val="00430973"/>
    <w:rsid w:val="00436A52"/>
    <w:rsid w:val="00437D7C"/>
    <w:rsid w:val="0044071A"/>
    <w:rsid w:val="004429D6"/>
    <w:rsid w:val="00442D41"/>
    <w:rsid w:val="00443DA4"/>
    <w:rsid w:val="004449A3"/>
    <w:rsid w:val="004452F9"/>
    <w:rsid w:val="004464F1"/>
    <w:rsid w:val="00446D6C"/>
    <w:rsid w:val="0046101E"/>
    <w:rsid w:val="004616A0"/>
    <w:rsid w:val="00465772"/>
    <w:rsid w:val="00466BE2"/>
    <w:rsid w:val="004722B6"/>
    <w:rsid w:val="00482FB9"/>
    <w:rsid w:val="00483F46"/>
    <w:rsid w:val="004861E1"/>
    <w:rsid w:val="00494977"/>
    <w:rsid w:val="00495211"/>
    <w:rsid w:val="00496396"/>
    <w:rsid w:val="004A038E"/>
    <w:rsid w:val="004A08B5"/>
    <w:rsid w:val="004A0A9B"/>
    <w:rsid w:val="004A41CC"/>
    <w:rsid w:val="004B3CFE"/>
    <w:rsid w:val="004B611D"/>
    <w:rsid w:val="004B6771"/>
    <w:rsid w:val="004B7D00"/>
    <w:rsid w:val="004C7B75"/>
    <w:rsid w:val="004D18B3"/>
    <w:rsid w:val="004D35D3"/>
    <w:rsid w:val="004D5982"/>
    <w:rsid w:val="004E3181"/>
    <w:rsid w:val="004E416E"/>
    <w:rsid w:val="004F690B"/>
    <w:rsid w:val="00501183"/>
    <w:rsid w:val="00502CCB"/>
    <w:rsid w:val="00504E64"/>
    <w:rsid w:val="005066E5"/>
    <w:rsid w:val="00510381"/>
    <w:rsid w:val="00512279"/>
    <w:rsid w:val="005152E2"/>
    <w:rsid w:val="005153D2"/>
    <w:rsid w:val="005159FC"/>
    <w:rsid w:val="00517181"/>
    <w:rsid w:val="0051778C"/>
    <w:rsid w:val="00517DE1"/>
    <w:rsid w:val="0052235A"/>
    <w:rsid w:val="00523013"/>
    <w:rsid w:val="00524512"/>
    <w:rsid w:val="0053129D"/>
    <w:rsid w:val="0053276C"/>
    <w:rsid w:val="005413F2"/>
    <w:rsid w:val="00542234"/>
    <w:rsid w:val="00542807"/>
    <w:rsid w:val="00547885"/>
    <w:rsid w:val="00550597"/>
    <w:rsid w:val="00552E54"/>
    <w:rsid w:val="00555C4C"/>
    <w:rsid w:val="005568EB"/>
    <w:rsid w:val="005571B3"/>
    <w:rsid w:val="005614DF"/>
    <w:rsid w:val="00562B09"/>
    <w:rsid w:val="00570ADF"/>
    <w:rsid w:val="0057313E"/>
    <w:rsid w:val="005733D4"/>
    <w:rsid w:val="00574E11"/>
    <w:rsid w:val="005759F1"/>
    <w:rsid w:val="00580711"/>
    <w:rsid w:val="00580E28"/>
    <w:rsid w:val="00581695"/>
    <w:rsid w:val="00583C65"/>
    <w:rsid w:val="00584C3F"/>
    <w:rsid w:val="00587B68"/>
    <w:rsid w:val="00587D86"/>
    <w:rsid w:val="005952CB"/>
    <w:rsid w:val="00595CDE"/>
    <w:rsid w:val="00596AA7"/>
    <w:rsid w:val="00596AD1"/>
    <w:rsid w:val="005A0593"/>
    <w:rsid w:val="005A20D4"/>
    <w:rsid w:val="005B057D"/>
    <w:rsid w:val="005B1925"/>
    <w:rsid w:val="005B2215"/>
    <w:rsid w:val="005B257B"/>
    <w:rsid w:val="005B406E"/>
    <w:rsid w:val="005C0B73"/>
    <w:rsid w:val="005C268F"/>
    <w:rsid w:val="005C6BFC"/>
    <w:rsid w:val="005C7F89"/>
    <w:rsid w:val="005D3886"/>
    <w:rsid w:val="005D39CD"/>
    <w:rsid w:val="005D4F53"/>
    <w:rsid w:val="005D6F25"/>
    <w:rsid w:val="005E3FD7"/>
    <w:rsid w:val="005E4025"/>
    <w:rsid w:val="005E74C0"/>
    <w:rsid w:val="005E7BEB"/>
    <w:rsid w:val="005F0966"/>
    <w:rsid w:val="005F0C82"/>
    <w:rsid w:val="005F1235"/>
    <w:rsid w:val="005F36D0"/>
    <w:rsid w:val="005F48E1"/>
    <w:rsid w:val="00601F3B"/>
    <w:rsid w:val="006025BF"/>
    <w:rsid w:val="006025E0"/>
    <w:rsid w:val="00605B94"/>
    <w:rsid w:val="0060765C"/>
    <w:rsid w:val="00613C0F"/>
    <w:rsid w:val="00616FDF"/>
    <w:rsid w:val="0062514A"/>
    <w:rsid w:val="00625AAA"/>
    <w:rsid w:val="00627A45"/>
    <w:rsid w:val="00631176"/>
    <w:rsid w:val="00631981"/>
    <w:rsid w:val="00632545"/>
    <w:rsid w:val="00640230"/>
    <w:rsid w:val="0064128E"/>
    <w:rsid w:val="00644758"/>
    <w:rsid w:val="006471A2"/>
    <w:rsid w:val="0065076B"/>
    <w:rsid w:val="00650BB6"/>
    <w:rsid w:val="0065137D"/>
    <w:rsid w:val="00651667"/>
    <w:rsid w:val="00655991"/>
    <w:rsid w:val="00663A50"/>
    <w:rsid w:val="006718EA"/>
    <w:rsid w:val="0067460E"/>
    <w:rsid w:val="0067639E"/>
    <w:rsid w:val="00677E81"/>
    <w:rsid w:val="00681B17"/>
    <w:rsid w:val="006827FB"/>
    <w:rsid w:val="006833AB"/>
    <w:rsid w:val="00683C78"/>
    <w:rsid w:val="00685BDB"/>
    <w:rsid w:val="00687630"/>
    <w:rsid w:val="00693627"/>
    <w:rsid w:val="006956E9"/>
    <w:rsid w:val="006A294B"/>
    <w:rsid w:val="006B0672"/>
    <w:rsid w:val="006B0F8A"/>
    <w:rsid w:val="006B1466"/>
    <w:rsid w:val="006B15F2"/>
    <w:rsid w:val="006B4BA3"/>
    <w:rsid w:val="006B6470"/>
    <w:rsid w:val="006B73F4"/>
    <w:rsid w:val="006B7A35"/>
    <w:rsid w:val="006C1AAD"/>
    <w:rsid w:val="006C3964"/>
    <w:rsid w:val="006C4739"/>
    <w:rsid w:val="006C4750"/>
    <w:rsid w:val="006C64FC"/>
    <w:rsid w:val="006D0904"/>
    <w:rsid w:val="006D0DBD"/>
    <w:rsid w:val="006D2D7B"/>
    <w:rsid w:val="006D6F58"/>
    <w:rsid w:val="006E3961"/>
    <w:rsid w:val="006E79E2"/>
    <w:rsid w:val="006F10C6"/>
    <w:rsid w:val="006F2DAE"/>
    <w:rsid w:val="006F6305"/>
    <w:rsid w:val="006F6745"/>
    <w:rsid w:val="00701A7C"/>
    <w:rsid w:val="00701D27"/>
    <w:rsid w:val="00702610"/>
    <w:rsid w:val="00702EEA"/>
    <w:rsid w:val="00703E84"/>
    <w:rsid w:val="0070655B"/>
    <w:rsid w:val="00707D15"/>
    <w:rsid w:val="00723456"/>
    <w:rsid w:val="00727847"/>
    <w:rsid w:val="00730F6C"/>
    <w:rsid w:val="00731211"/>
    <w:rsid w:val="0073328E"/>
    <w:rsid w:val="00733698"/>
    <w:rsid w:val="0073633A"/>
    <w:rsid w:val="0073641C"/>
    <w:rsid w:val="007543CB"/>
    <w:rsid w:val="007633B4"/>
    <w:rsid w:val="007666B2"/>
    <w:rsid w:val="00771062"/>
    <w:rsid w:val="0077257E"/>
    <w:rsid w:val="00773D03"/>
    <w:rsid w:val="007753F1"/>
    <w:rsid w:val="00775B5C"/>
    <w:rsid w:val="007766D7"/>
    <w:rsid w:val="00782183"/>
    <w:rsid w:val="00784751"/>
    <w:rsid w:val="00784CFD"/>
    <w:rsid w:val="00784E88"/>
    <w:rsid w:val="0078614F"/>
    <w:rsid w:val="0078711A"/>
    <w:rsid w:val="00791262"/>
    <w:rsid w:val="00793B1C"/>
    <w:rsid w:val="00797522"/>
    <w:rsid w:val="007A220A"/>
    <w:rsid w:val="007B4E33"/>
    <w:rsid w:val="007C01DA"/>
    <w:rsid w:val="007C06B1"/>
    <w:rsid w:val="007C25A5"/>
    <w:rsid w:val="007D0233"/>
    <w:rsid w:val="007D06B9"/>
    <w:rsid w:val="007D1E00"/>
    <w:rsid w:val="007D2338"/>
    <w:rsid w:val="007D4914"/>
    <w:rsid w:val="007D4B77"/>
    <w:rsid w:val="007D4E52"/>
    <w:rsid w:val="007E5675"/>
    <w:rsid w:val="007E57A7"/>
    <w:rsid w:val="007E61A2"/>
    <w:rsid w:val="007F05C9"/>
    <w:rsid w:val="007F5416"/>
    <w:rsid w:val="00802876"/>
    <w:rsid w:val="00812F6E"/>
    <w:rsid w:val="00814462"/>
    <w:rsid w:val="00821C22"/>
    <w:rsid w:val="00825101"/>
    <w:rsid w:val="008278C4"/>
    <w:rsid w:val="008306F3"/>
    <w:rsid w:val="00835DEA"/>
    <w:rsid w:val="00836E81"/>
    <w:rsid w:val="008428A5"/>
    <w:rsid w:val="00843725"/>
    <w:rsid w:val="00843C80"/>
    <w:rsid w:val="00844A1E"/>
    <w:rsid w:val="00851994"/>
    <w:rsid w:val="0085298A"/>
    <w:rsid w:val="00861469"/>
    <w:rsid w:val="00863AB0"/>
    <w:rsid w:val="008645E2"/>
    <w:rsid w:val="00866B1A"/>
    <w:rsid w:val="00872252"/>
    <w:rsid w:val="00880986"/>
    <w:rsid w:val="00884013"/>
    <w:rsid w:val="00886F00"/>
    <w:rsid w:val="00890129"/>
    <w:rsid w:val="008939D9"/>
    <w:rsid w:val="00894A01"/>
    <w:rsid w:val="008A007E"/>
    <w:rsid w:val="008A129C"/>
    <w:rsid w:val="008A6101"/>
    <w:rsid w:val="008B059A"/>
    <w:rsid w:val="008B3955"/>
    <w:rsid w:val="008B432A"/>
    <w:rsid w:val="008B4613"/>
    <w:rsid w:val="008C1DDF"/>
    <w:rsid w:val="008C21B9"/>
    <w:rsid w:val="008C3294"/>
    <w:rsid w:val="008C472E"/>
    <w:rsid w:val="008C69CE"/>
    <w:rsid w:val="008D2CA8"/>
    <w:rsid w:val="008D5B84"/>
    <w:rsid w:val="008D75FE"/>
    <w:rsid w:val="008E2BFB"/>
    <w:rsid w:val="008E3A99"/>
    <w:rsid w:val="008F130E"/>
    <w:rsid w:val="008F53D8"/>
    <w:rsid w:val="00900BED"/>
    <w:rsid w:val="00900C75"/>
    <w:rsid w:val="00904156"/>
    <w:rsid w:val="00907055"/>
    <w:rsid w:val="00912D70"/>
    <w:rsid w:val="00914F19"/>
    <w:rsid w:val="00915789"/>
    <w:rsid w:val="00917F8B"/>
    <w:rsid w:val="00921022"/>
    <w:rsid w:val="00921059"/>
    <w:rsid w:val="009227DB"/>
    <w:rsid w:val="00923F39"/>
    <w:rsid w:val="00924EBE"/>
    <w:rsid w:val="00926F89"/>
    <w:rsid w:val="00930F91"/>
    <w:rsid w:val="00931D11"/>
    <w:rsid w:val="00940989"/>
    <w:rsid w:val="00944297"/>
    <w:rsid w:val="00944C86"/>
    <w:rsid w:val="009457FB"/>
    <w:rsid w:val="00947EAD"/>
    <w:rsid w:val="00956153"/>
    <w:rsid w:val="00956D9F"/>
    <w:rsid w:val="00957778"/>
    <w:rsid w:val="00957D82"/>
    <w:rsid w:val="0097367C"/>
    <w:rsid w:val="00982DA0"/>
    <w:rsid w:val="00997305"/>
    <w:rsid w:val="00997672"/>
    <w:rsid w:val="009A3FA9"/>
    <w:rsid w:val="009A4450"/>
    <w:rsid w:val="009A74B3"/>
    <w:rsid w:val="009B314C"/>
    <w:rsid w:val="009B3E02"/>
    <w:rsid w:val="009B474A"/>
    <w:rsid w:val="009B6EF0"/>
    <w:rsid w:val="009C12B3"/>
    <w:rsid w:val="009C143B"/>
    <w:rsid w:val="009C635A"/>
    <w:rsid w:val="009C75BF"/>
    <w:rsid w:val="009D124A"/>
    <w:rsid w:val="009D25BA"/>
    <w:rsid w:val="009D29D2"/>
    <w:rsid w:val="009D4866"/>
    <w:rsid w:val="009D4DE8"/>
    <w:rsid w:val="009D6C8E"/>
    <w:rsid w:val="009E4169"/>
    <w:rsid w:val="009E6FED"/>
    <w:rsid w:val="009F089D"/>
    <w:rsid w:val="009F09CF"/>
    <w:rsid w:val="009F2293"/>
    <w:rsid w:val="009F39E0"/>
    <w:rsid w:val="009F59BA"/>
    <w:rsid w:val="009F7F06"/>
    <w:rsid w:val="00A009FC"/>
    <w:rsid w:val="00A02946"/>
    <w:rsid w:val="00A0353B"/>
    <w:rsid w:val="00A04002"/>
    <w:rsid w:val="00A0749B"/>
    <w:rsid w:val="00A10E6E"/>
    <w:rsid w:val="00A13C97"/>
    <w:rsid w:val="00A16090"/>
    <w:rsid w:val="00A20900"/>
    <w:rsid w:val="00A21F05"/>
    <w:rsid w:val="00A22FA3"/>
    <w:rsid w:val="00A249D3"/>
    <w:rsid w:val="00A26183"/>
    <w:rsid w:val="00A27159"/>
    <w:rsid w:val="00A308FB"/>
    <w:rsid w:val="00A30CF1"/>
    <w:rsid w:val="00A31F22"/>
    <w:rsid w:val="00A37E57"/>
    <w:rsid w:val="00A42C78"/>
    <w:rsid w:val="00A43007"/>
    <w:rsid w:val="00A46749"/>
    <w:rsid w:val="00A46827"/>
    <w:rsid w:val="00A50BF8"/>
    <w:rsid w:val="00A51C63"/>
    <w:rsid w:val="00A65DC5"/>
    <w:rsid w:val="00A702F4"/>
    <w:rsid w:val="00A71558"/>
    <w:rsid w:val="00A8294D"/>
    <w:rsid w:val="00A873FD"/>
    <w:rsid w:val="00A87B22"/>
    <w:rsid w:val="00A92861"/>
    <w:rsid w:val="00A941B6"/>
    <w:rsid w:val="00A9459E"/>
    <w:rsid w:val="00A961AE"/>
    <w:rsid w:val="00AA2E00"/>
    <w:rsid w:val="00AA504E"/>
    <w:rsid w:val="00AA5CF9"/>
    <w:rsid w:val="00AA7BFF"/>
    <w:rsid w:val="00AC25BB"/>
    <w:rsid w:val="00AC56D5"/>
    <w:rsid w:val="00AD18BD"/>
    <w:rsid w:val="00AD3AA6"/>
    <w:rsid w:val="00AE0237"/>
    <w:rsid w:val="00AE4893"/>
    <w:rsid w:val="00AE626C"/>
    <w:rsid w:val="00AF0144"/>
    <w:rsid w:val="00AF0268"/>
    <w:rsid w:val="00AF09F9"/>
    <w:rsid w:val="00AF3CC4"/>
    <w:rsid w:val="00AF3FFB"/>
    <w:rsid w:val="00AF5AA0"/>
    <w:rsid w:val="00AF65AA"/>
    <w:rsid w:val="00AF6D8A"/>
    <w:rsid w:val="00B0296A"/>
    <w:rsid w:val="00B032C4"/>
    <w:rsid w:val="00B03CC3"/>
    <w:rsid w:val="00B043EA"/>
    <w:rsid w:val="00B117CC"/>
    <w:rsid w:val="00B119ED"/>
    <w:rsid w:val="00B11AF4"/>
    <w:rsid w:val="00B11E9E"/>
    <w:rsid w:val="00B12DEC"/>
    <w:rsid w:val="00B160CA"/>
    <w:rsid w:val="00B1765D"/>
    <w:rsid w:val="00B20290"/>
    <w:rsid w:val="00B216DD"/>
    <w:rsid w:val="00B23721"/>
    <w:rsid w:val="00B23CBA"/>
    <w:rsid w:val="00B26208"/>
    <w:rsid w:val="00B2667E"/>
    <w:rsid w:val="00B30A4D"/>
    <w:rsid w:val="00B30DC8"/>
    <w:rsid w:val="00B31FF4"/>
    <w:rsid w:val="00B358EA"/>
    <w:rsid w:val="00B41C91"/>
    <w:rsid w:val="00B456A1"/>
    <w:rsid w:val="00B45C2F"/>
    <w:rsid w:val="00B47F04"/>
    <w:rsid w:val="00B5542D"/>
    <w:rsid w:val="00B5552B"/>
    <w:rsid w:val="00B64EDE"/>
    <w:rsid w:val="00B660A6"/>
    <w:rsid w:val="00B70A34"/>
    <w:rsid w:val="00B71812"/>
    <w:rsid w:val="00B72671"/>
    <w:rsid w:val="00B7590C"/>
    <w:rsid w:val="00B768EC"/>
    <w:rsid w:val="00B770F7"/>
    <w:rsid w:val="00B82795"/>
    <w:rsid w:val="00B83480"/>
    <w:rsid w:val="00B87469"/>
    <w:rsid w:val="00B9221C"/>
    <w:rsid w:val="00B92A35"/>
    <w:rsid w:val="00B92E17"/>
    <w:rsid w:val="00B930B2"/>
    <w:rsid w:val="00B94096"/>
    <w:rsid w:val="00B9628F"/>
    <w:rsid w:val="00BA08AD"/>
    <w:rsid w:val="00BA2011"/>
    <w:rsid w:val="00BA3547"/>
    <w:rsid w:val="00BA3B6F"/>
    <w:rsid w:val="00BA4C70"/>
    <w:rsid w:val="00BA7E97"/>
    <w:rsid w:val="00BB0D2C"/>
    <w:rsid w:val="00BB6719"/>
    <w:rsid w:val="00BB6758"/>
    <w:rsid w:val="00BB709F"/>
    <w:rsid w:val="00BB720F"/>
    <w:rsid w:val="00BB7834"/>
    <w:rsid w:val="00BC60B3"/>
    <w:rsid w:val="00BC6BEF"/>
    <w:rsid w:val="00BC75BC"/>
    <w:rsid w:val="00BD2209"/>
    <w:rsid w:val="00BD2D5F"/>
    <w:rsid w:val="00BD5D7C"/>
    <w:rsid w:val="00BE4550"/>
    <w:rsid w:val="00BF1B51"/>
    <w:rsid w:val="00BF29CB"/>
    <w:rsid w:val="00BF38C1"/>
    <w:rsid w:val="00BF5E8F"/>
    <w:rsid w:val="00C01EBB"/>
    <w:rsid w:val="00C02425"/>
    <w:rsid w:val="00C0294C"/>
    <w:rsid w:val="00C0348A"/>
    <w:rsid w:val="00C03628"/>
    <w:rsid w:val="00C054E4"/>
    <w:rsid w:val="00C071D8"/>
    <w:rsid w:val="00C11DED"/>
    <w:rsid w:val="00C14E2D"/>
    <w:rsid w:val="00C25168"/>
    <w:rsid w:val="00C3025A"/>
    <w:rsid w:val="00C30777"/>
    <w:rsid w:val="00C31523"/>
    <w:rsid w:val="00C35630"/>
    <w:rsid w:val="00C370FF"/>
    <w:rsid w:val="00C40869"/>
    <w:rsid w:val="00C40983"/>
    <w:rsid w:val="00C43798"/>
    <w:rsid w:val="00C4734E"/>
    <w:rsid w:val="00C47F69"/>
    <w:rsid w:val="00C52A8F"/>
    <w:rsid w:val="00C544B1"/>
    <w:rsid w:val="00C54830"/>
    <w:rsid w:val="00C55927"/>
    <w:rsid w:val="00C561DA"/>
    <w:rsid w:val="00C60934"/>
    <w:rsid w:val="00C62D28"/>
    <w:rsid w:val="00C63AE7"/>
    <w:rsid w:val="00C6440F"/>
    <w:rsid w:val="00C64449"/>
    <w:rsid w:val="00C646AF"/>
    <w:rsid w:val="00C7467D"/>
    <w:rsid w:val="00C74B33"/>
    <w:rsid w:val="00C76FB9"/>
    <w:rsid w:val="00C83C8E"/>
    <w:rsid w:val="00C84F6A"/>
    <w:rsid w:val="00C90D5F"/>
    <w:rsid w:val="00C91D29"/>
    <w:rsid w:val="00C934F0"/>
    <w:rsid w:val="00C938ED"/>
    <w:rsid w:val="00C97818"/>
    <w:rsid w:val="00CA4FF6"/>
    <w:rsid w:val="00CA5271"/>
    <w:rsid w:val="00CA61C0"/>
    <w:rsid w:val="00CA7196"/>
    <w:rsid w:val="00CB1466"/>
    <w:rsid w:val="00CB22B9"/>
    <w:rsid w:val="00CB4D19"/>
    <w:rsid w:val="00CB580D"/>
    <w:rsid w:val="00CB5AFC"/>
    <w:rsid w:val="00CB624E"/>
    <w:rsid w:val="00CC1466"/>
    <w:rsid w:val="00CC1627"/>
    <w:rsid w:val="00CD01E4"/>
    <w:rsid w:val="00CD027F"/>
    <w:rsid w:val="00CD656C"/>
    <w:rsid w:val="00CD65DE"/>
    <w:rsid w:val="00CE5F57"/>
    <w:rsid w:val="00CF31B6"/>
    <w:rsid w:val="00CF649A"/>
    <w:rsid w:val="00CF6605"/>
    <w:rsid w:val="00D014B0"/>
    <w:rsid w:val="00D01EAC"/>
    <w:rsid w:val="00D0311F"/>
    <w:rsid w:val="00D06CB8"/>
    <w:rsid w:val="00D07148"/>
    <w:rsid w:val="00D116D8"/>
    <w:rsid w:val="00D11AFB"/>
    <w:rsid w:val="00D2008B"/>
    <w:rsid w:val="00D208EE"/>
    <w:rsid w:val="00D24EBD"/>
    <w:rsid w:val="00D26678"/>
    <w:rsid w:val="00D31BB5"/>
    <w:rsid w:val="00D3410C"/>
    <w:rsid w:val="00D34D5B"/>
    <w:rsid w:val="00D36C55"/>
    <w:rsid w:val="00D41265"/>
    <w:rsid w:val="00D42472"/>
    <w:rsid w:val="00D4508F"/>
    <w:rsid w:val="00D45414"/>
    <w:rsid w:val="00D47142"/>
    <w:rsid w:val="00D5287C"/>
    <w:rsid w:val="00D532CB"/>
    <w:rsid w:val="00D53E75"/>
    <w:rsid w:val="00D544A8"/>
    <w:rsid w:val="00D562D7"/>
    <w:rsid w:val="00D63D17"/>
    <w:rsid w:val="00D6726E"/>
    <w:rsid w:val="00D71E02"/>
    <w:rsid w:val="00D74296"/>
    <w:rsid w:val="00D74E93"/>
    <w:rsid w:val="00D7706B"/>
    <w:rsid w:val="00D83646"/>
    <w:rsid w:val="00D8456C"/>
    <w:rsid w:val="00D84992"/>
    <w:rsid w:val="00D865BC"/>
    <w:rsid w:val="00D9019B"/>
    <w:rsid w:val="00D9233B"/>
    <w:rsid w:val="00D926BA"/>
    <w:rsid w:val="00D94192"/>
    <w:rsid w:val="00D945AD"/>
    <w:rsid w:val="00D946C2"/>
    <w:rsid w:val="00D94C01"/>
    <w:rsid w:val="00D95FCD"/>
    <w:rsid w:val="00DA3FA8"/>
    <w:rsid w:val="00DA4B4A"/>
    <w:rsid w:val="00DA7A49"/>
    <w:rsid w:val="00DB35E4"/>
    <w:rsid w:val="00DB390E"/>
    <w:rsid w:val="00DB4619"/>
    <w:rsid w:val="00DB65FB"/>
    <w:rsid w:val="00DB77B8"/>
    <w:rsid w:val="00DC28E5"/>
    <w:rsid w:val="00DC3C96"/>
    <w:rsid w:val="00DC66AC"/>
    <w:rsid w:val="00DD1DA5"/>
    <w:rsid w:val="00DD3292"/>
    <w:rsid w:val="00DD34E4"/>
    <w:rsid w:val="00DD51D3"/>
    <w:rsid w:val="00DD5E9A"/>
    <w:rsid w:val="00DE1938"/>
    <w:rsid w:val="00DE5B8C"/>
    <w:rsid w:val="00DE7052"/>
    <w:rsid w:val="00DE7E34"/>
    <w:rsid w:val="00DF092A"/>
    <w:rsid w:val="00DF1703"/>
    <w:rsid w:val="00DF7875"/>
    <w:rsid w:val="00E005BD"/>
    <w:rsid w:val="00E04E5F"/>
    <w:rsid w:val="00E05BF9"/>
    <w:rsid w:val="00E063B4"/>
    <w:rsid w:val="00E0641C"/>
    <w:rsid w:val="00E150DB"/>
    <w:rsid w:val="00E213EB"/>
    <w:rsid w:val="00E22D4C"/>
    <w:rsid w:val="00E23E89"/>
    <w:rsid w:val="00E443EA"/>
    <w:rsid w:val="00E45F22"/>
    <w:rsid w:val="00E535AF"/>
    <w:rsid w:val="00E53F1A"/>
    <w:rsid w:val="00E609D1"/>
    <w:rsid w:val="00E609D6"/>
    <w:rsid w:val="00E6140F"/>
    <w:rsid w:val="00E6155A"/>
    <w:rsid w:val="00E6467A"/>
    <w:rsid w:val="00E73D2B"/>
    <w:rsid w:val="00E80673"/>
    <w:rsid w:val="00E8191A"/>
    <w:rsid w:val="00E81AC7"/>
    <w:rsid w:val="00E83F50"/>
    <w:rsid w:val="00E8508D"/>
    <w:rsid w:val="00E85634"/>
    <w:rsid w:val="00E87482"/>
    <w:rsid w:val="00E9085C"/>
    <w:rsid w:val="00E92ACC"/>
    <w:rsid w:val="00E95D73"/>
    <w:rsid w:val="00EA12BE"/>
    <w:rsid w:val="00EA18A9"/>
    <w:rsid w:val="00EA29C4"/>
    <w:rsid w:val="00EA744B"/>
    <w:rsid w:val="00EB1888"/>
    <w:rsid w:val="00EB2468"/>
    <w:rsid w:val="00EC003F"/>
    <w:rsid w:val="00EC2660"/>
    <w:rsid w:val="00EC5F4A"/>
    <w:rsid w:val="00ED0F59"/>
    <w:rsid w:val="00ED6420"/>
    <w:rsid w:val="00ED6520"/>
    <w:rsid w:val="00EE0365"/>
    <w:rsid w:val="00EE330F"/>
    <w:rsid w:val="00EE46A9"/>
    <w:rsid w:val="00EE7C48"/>
    <w:rsid w:val="00EE7CC1"/>
    <w:rsid w:val="00EE7F0B"/>
    <w:rsid w:val="00EF1E3C"/>
    <w:rsid w:val="00EF3582"/>
    <w:rsid w:val="00EF5927"/>
    <w:rsid w:val="00EF7428"/>
    <w:rsid w:val="00F016CA"/>
    <w:rsid w:val="00F04C18"/>
    <w:rsid w:val="00F1111E"/>
    <w:rsid w:val="00F16AF2"/>
    <w:rsid w:val="00F173BE"/>
    <w:rsid w:val="00F23209"/>
    <w:rsid w:val="00F27972"/>
    <w:rsid w:val="00F40218"/>
    <w:rsid w:val="00F41F9E"/>
    <w:rsid w:val="00F42A21"/>
    <w:rsid w:val="00F46E7A"/>
    <w:rsid w:val="00F53A58"/>
    <w:rsid w:val="00F56A7D"/>
    <w:rsid w:val="00F56B80"/>
    <w:rsid w:val="00F57FDC"/>
    <w:rsid w:val="00F60972"/>
    <w:rsid w:val="00F61707"/>
    <w:rsid w:val="00F63D10"/>
    <w:rsid w:val="00F6532E"/>
    <w:rsid w:val="00F66EF5"/>
    <w:rsid w:val="00F705C3"/>
    <w:rsid w:val="00F7389A"/>
    <w:rsid w:val="00F76247"/>
    <w:rsid w:val="00F8257E"/>
    <w:rsid w:val="00F82ABC"/>
    <w:rsid w:val="00F8354B"/>
    <w:rsid w:val="00F90578"/>
    <w:rsid w:val="00F930B9"/>
    <w:rsid w:val="00F935B2"/>
    <w:rsid w:val="00F93A9B"/>
    <w:rsid w:val="00FA333E"/>
    <w:rsid w:val="00FA3D10"/>
    <w:rsid w:val="00FA468E"/>
    <w:rsid w:val="00FA74A0"/>
    <w:rsid w:val="00FB095B"/>
    <w:rsid w:val="00FB3A0B"/>
    <w:rsid w:val="00FB4A0A"/>
    <w:rsid w:val="00FB4FBA"/>
    <w:rsid w:val="00FB5155"/>
    <w:rsid w:val="00FC0AE7"/>
    <w:rsid w:val="00FC2526"/>
    <w:rsid w:val="00FC30D2"/>
    <w:rsid w:val="00FC3317"/>
    <w:rsid w:val="00FC5A1B"/>
    <w:rsid w:val="00FC5EBE"/>
    <w:rsid w:val="00FD3F7C"/>
    <w:rsid w:val="00FD51C6"/>
    <w:rsid w:val="00FD6EB3"/>
    <w:rsid w:val="00FD6F91"/>
    <w:rsid w:val="00FE0ACA"/>
    <w:rsid w:val="00FE1DDF"/>
    <w:rsid w:val="00FF0FB0"/>
    <w:rsid w:val="00FF77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96E1"/>
  <w15:chartTrackingRefBased/>
  <w15:docId w15:val="{74B382D6-24CD-4B58-9F54-01ADAE4C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4296"/>
    <w:pPr>
      <w:spacing w:after="0" w:line="240" w:lineRule="auto"/>
    </w:pPr>
    <w:rPr>
      <w:rFonts w:ascii="Times New Roman" w:eastAsia="Times New Roman" w:hAnsi="Times New Roman" w:cs="Times New Roman"/>
      <w:sz w:val="24"/>
      <w:szCs w:val="24"/>
      <w:lang w:val="el-GR" w:eastAsia="el-GR"/>
    </w:rPr>
  </w:style>
  <w:style w:type="paragraph" w:styleId="Heading1">
    <w:name w:val="heading 1"/>
    <w:basedOn w:val="Normal"/>
    <w:next w:val="Normal"/>
    <w:link w:val="Heading1Char"/>
    <w:uiPriority w:val="9"/>
    <w:qFormat/>
    <w:rsid w:val="00B30A4D"/>
    <w:pPr>
      <w:shd w:val="clear" w:color="auto" w:fill="DBE5F1" w:themeFill="accent1" w:themeFillTint="33"/>
      <w:jc w:val="both"/>
      <w:outlineLvl w:val="0"/>
    </w:pPr>
    <w:rPr>
      <w:rFonts w:ascii="Century Gothic" w:hAnsi="Century Gothic"/>
      <w:b/>
      <w:sz w:val="28"/>
    </w:rPr>
  </w:style>
  <w:style w:type="paragraph" w:styleId="Heading2">
    <w:name w:val="heading 2"/>
    <w:basedOn w:val="Normal"/>
    <w:link w:val="Heading2Char"/>
    <w:uiPriority w:val="9"/>
    <w:qFormat/>
    <w:rsid w:val="00B30A4D"/>
    <w:pPr>
      <w:jc w:val="both"/>
      <w:outlineLvl w:val="1"/>
    </w:pPr>
    <w:rPr>
      <w:rFonts w:ascii="Century Gothic" w:hAnsi="Century Gothic"/>
      <w:b/>
    </w:rPr>
  </w:style>
  <w:style w:type="paragraph" w:styleId="Heading3">
    <w:name w:val="heading 3"/>
    <w:basedOn w:val="Normal"/>
    <w:next w:val="Normal"/>
    <w:link w:val="Heading3Char"/>
    <w:uiPriority w:val="9"/>
    <w:unhideWhenUsed/>
    <w:qFormat/>
    <w:rsid w:val="00B30A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A4D"/>
    <w:rPr>
      <w:rFonts w:ascii="Century Gothic" w:hAnsi="Century Gothic"/>
      <w:b/>
      <w:sz w:val="28"/>
      <w:shd w:val="clear" w:color="auto" w:fill="DBE5F1" w:themeFill="accent1" w:themeFillTint="33"/>
    </w:rPr>
  </w:style>
  <w:style w:type="character" w:customStyle="1" w:styleId="Heading2Char">
    <w:name w:val="Heading 2 Char"/>
    <w:basedOn w:val="DefaultParagraphFont"/>
    <w:link w:val="Heading2"/>
    <w:uiPriority w:val="9"/>
    <w:rsid w:val="00B30A4D"/>
    <w:rPr>
      <w:rFonts w:ascii="Century Gothic" w:hAnsi="Century Gothic"/>
      <w:b/>
      <w:sz w:val="24"/>
    </w:rPr>
  </w:style>
  <w:style w:type="character" w:customStyle="1" w:styleId="Heading3Char">
    <w:name w:val="Heading 3 Char"/>
    <w:basedOn w:val="DefaultParagraphFont"/>
    <w:link w:val="Heading3"/>
    <w:uiPriority w:val="9"/>
    <w:rsid w:val="00B30A4D"/>
    <w:rPr>
      <w:rFonts w:asciiTheme="majorHAnsi" w:eastAsiaTheme="majorEastAsia" w:hAnsiTheme="majorHAnsi" w:cstheme="majorBidi"/>
      <w:b/>
      <w:bCs/>
      <w:color w:val="4F81BD" w:themeColor="accent1"/>
    </w:rPr>
  </w:style>
  <w:style w:type="character" w:styleId="FootnoteReference">
    <w:name w:val="footnote reference"/>
    <w:basedOn w:val="DefaultParagraphFont"/>
    <w:uiPriority w:val="99"/>
    <w:semiHidden/>
    <w:unhideWhenUsed/>
    <w:qFormat/>
    <w:rsid w:val="00B30A4D"/>
    <w:rPr>
      <w:vertAlign w:val="superscript"/>
    </w:rPr>
  </w:style>
  <w:style w:type="character" w:styleId="Strong">
    <w:name w:val="Strong"/>
    <w:basedOn w:val="DefaultParagraphFont"/>
    <w:uiPriority w:val="22"/>
    <w:qFormat/>
    <w:rsid w:val="00B30A4D"/>
    <w:rPr>
      <w:b/>
      <w:bCs/>
    </w:rPr>
  </w:style>
  <w:style w:type="paragraph" w:styleId="ListParagraph">
    <w:name w:val="List Paragraph"/>
    <w:basedOn w:val="Normal"/>
    <w:uiPriority w:val="34"/>
    <w:qFormat/>
    <w:rsid w:val="00B30A4D"/>
    <w:pPr>
      <w:ind w:left="720"/>
      <w:contextualSpacing/>
    </w:pPr>
  </w:style>
  <w:style w:type="paragraph" w:styleId="TOCHeading">
    <w:name w:val="TOC Heading"/>
    <w:basedOn w:val="Heading1"/>
    <w:next w:val="Normal"/>
    <w:uiPriority w:val="39"/>
    <w:unhideWhenUsed/>
    <w:qFormat/>
    <w:rsid w:val="00B30A4D"/>
    <w:pPr>
      <w:outlineLvl w:val="9"/>
    </w:pPr>
  </w:style>
  <w:style w:type="character" w:styleId="Hyperlink">
    <w:name w:val="Hyperlink"/>
    <w:uiPriority w:val="99"/>
    <w:unhideWhenUsed/>
    <w:qFormat/>
    <w:rsid w:val="00C30777"/>
    <w:rPr>
      <w:color w:val="0000FF"/>
      <w:u w:val="single"/>
    </w:rPr>
  </w:style>
  <w:style w:type="character" w:styleId="UnresolvedMention">
    <w:name w:val="Unresolved Mention"/>
    <w:basedOn w:val="DefaultParagraphFont"/>
    <w:uiPriority w:val="99"/>
    <w:semiHidden/>
    <w:unhideWhenUsed/>
    <w:rsid w:val="00C30777"/>
    <w:rPr>
      <w:color w:val="605E5C"/>
      <w:shd w:val="clear" w:color="auto" w:fill="E1DFDD"/>
    </w:rPr>
  </w:style>
  <w:style w:type="paragraph" w:styleId="EndnoteText">
    <w:name w:val="endnote text"/>
    <w:basedOn w:val="Normal"/>
    <w:link w:val="EndnoteTextChar"/>
    <w:uiPriority w:val="99"/>
    <w:semiHidden/>
    <w:unhideWhenUsed/>
    <w:rsid w:val="00ED0F59"/>
    <w:rPr>
      <w:sz w:val="20"/>
      <w:szCs w:val="20"/>
    </w:rPr>
  </w:style>
  <w:style w:type="character" w:customStyle="1" w:styleId="EndnoteTextChar">
    <w:name w:val="Endnote Text Char"/>
    <w:basedOn w:val="DefaultParagraphFont"/>
    <w:link w:val="EndnoteText"/>
    <w:uiPriority w:val="99"/>
    <w:semiHidden/>
    <w:rsid w:val="00ED0F59"/>
    <w:rPr>
      <w:rFonts w:ascii="Times New Roman" w:eastAsia="Times New Roman" w:hAnsi="Times New Roman" w:cs="Times New Roman"/>
      <w:sz w:val="20"/>
      <w:szCs w:val="20"/>
      <w:lang w:val="el-GR" w:eastAsia="el-GR"/>
    </w:rPr>
  </w:style>
  <w:style w:type="character" w:styleId="EndnoteReference">
    <w:name w:val="endnote reference"/>
    <w:basedOn w:val="DefaultParagraphFont"/>
    <w:uiPriority w:val="99"/>
    <w:semiHidden/>
    <w:unhideWhenUsed/>
    <w:rsid w:val="00ED0F59"/>
    <w:rPr>
      <w:vertAlign w:val="superscript"/>
    </w:rPr>
  </w:style>
  <w:style w:type="character" w:styleId="FollowedHyperlink">
    <w:name w:val="FollowedHyperlink"/>
    <w:basedOn w:val="DefaultParagraphFont"/>
    <w:uiPriority w:val="99"/>
    <w:semiHidden/>
    <w:unhideWhenUsed/>
    <w:rsid w:val="00B23721"/>
    <w:rPr>
      <w:color w:val="800080" w:themeColor="followedHyperlink"/>
      <w:u w:val="single"/>
    </w:rPr>
  </w:style>
  <w:style w:type="paragraph" w:styleId="Header">
    <w:name w:val="header"/>
    <w:basedOn w:val="Normal"/>
    <w:link w:val="HeaderChar"/>
    <w:uiPriority w:val="99"/>
    <w:unhideWhenUsed/>
    <w:rsid w:val="0022399D"/>
    <w:pPr>
      <w:tabs>
        <w:tab w:val="center" w:pos="4680"/>
        <w:tab w:val="right" w:pos="9360"/>
      </w:tabs>
    </w:pPr>
  </w:style>
  <w:style w:type="character" w:customStyle="1" w:styleId="HeaderChar">
    <w:name w:val="Header Char"/>
    <w:basedOn w:val="DefaultParagraphFont"/>
    <w:link w:val="Header"/>
    <w:uiPriority w:val="99"/>
    <w:rsid w:val="0022399D"/>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qFormat/>
    <w:rsid w:val="0022399D"/>
    <w:pPr>
      <w:tabs>
        <w:tab w:val="center" w:pos="4680"/>
        <w:tab w:val="right" w:pos="9360"/>
      </w:tabs>
    </w:pPr>
  </w:style>
  <w:style w:type="character" w:customStyle="1" w:styleId="FooterChar">
    <w:name w:val="Footer Char"/>
    <w:basedOn w:val="DefaultParagraphFont"/>
    <w:link w:val="Footer"/>
    <w:uiPriority w:val="99"/>
    <w:rsid w:val="0022399D"/>
    <w:rPr>
      <w:rFonts w:ascii="Times New Roman" w:eastAsia="Times New Roman" w:hAnsi="Times New Roman" w:cs="Times New Roman"/>
      <w:sz w:val="24"/>
      <w:szCs w:val="24"/>
      <w:lang w:val="el-GR" w:eastAsia="el-GR"/>
    </w:rPr>
  </w:style>
  <w:style w:type="character" w:customStyle="1" w:styleId="hwtze">
    <w:name w:val="hwtze"/>
    <w:basedOn w:val="DefaultParagraphFont"/>
    <w:rsid w:val="00B30DC8"/>
  </w:style>
  <w:style w:type="character" w:customStyle="1" w:styleId="rynqvb">
    <w:name w:val="rynqvb"/>
    <w:basedOn w:val="DefaultParagraphFont"/>
    <w:rsid w:val="00B30DC8"/>
  </w:style>
  <w:style w:type="paragraph" w:styleId="NormalWeb">
    <w:name w:val="Normal (Web)"/>
    <w:basedOn w:val="Normal"/>
    <w:uiPriority w:val="99"/>
    <w:unhideWhenUsed/>
    <w:rsid w:val="005E74C0"/>
    <w:pPr>
      <w:spacing w:before="100" w:beforeAutospacing="1" w:after="100" w:afterAutospacing="1"/>
    </w:pPr>
    <w:rPr>
      <w:lang w:val="en-US" w:eastAsia="en-US"/>
    </w:rPr>
  </w:style>
  <w:style w:type="paragraph" w:styleId="FootnoteText">
    <w:name w:val="footnote text"/>
    <w:basedOn w:val="Normal"/>
    <w:link w:val="FootnoteTextChar"/>
    <w:uiPriority w:val="99"/>
    <w:semiHidden/>
    <w:unhideWhenUsed/>
    <w:rsid w:val="008F53D8"/>
    <w:rPr>
      <w:sz w:val="20"/>
      <w:szCs w:val="20"/>
    </w:rPr>
  </w:style>
  <w:style w:type="character" w:customStyle="1" w:styleId="FootnoteTextChar">
    <w:name w:val="Footnote Text Char"/>
    <w:basedOn w:val="DefaultParagraphFont"/>
    <w:link w:val="FootnoteText"/>
    <w:uiPriority w:val="99"/>
    <w:semiHidden/>
    <w:rsid w:val="008F53D8"/>
    <w:rPr>
      <w:rFonts w:ascii="Times New Roman" w:eastAsia="Times New Roman" w:hAnsi="Times New Roman" w:cs="Times New Roman"/>
      <w:sz w:val="20"/>
      <w:szCs w:val="20"/>
      <w:lang w:val="el-GR" w:eastAsia="el-GR"/>
    </w:rPr>
  </w:style>
  <w:style w:type="paragraph" w:styleId="BalloonText">
    <w:name w:val="Balloon Text"/>
    <w:basedOn w:val="Normal"/>
    <w:link w:val="BalloonTextChar"/>
    <w:uiPriority w:val="99"/>
    <w:semiHidden/>
    <w:unhideWhenUsed/>
    <w:rsid w:val="00B12D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DEC"/>
    <w:rPr>
      <w:rFonts w:ascii="Segoe UI" w:eastAsia="Times New Roman" w:hAnsi="Segoe UI" w:cs="Segoe UI"/>
      <w:sz w:val="18"/>
      <w:szCs w:val="18"/>
      <w:lang w:val="el-GR" w:eastAsia="el-GR"/>
    </w:rPr>
  </w:style>
  <w:style w:type="character" w:customStyle="1" w:styleId="object">
    <w:name w:val="object"/>
    <w:basedOn w:val="DefaultParagraphFont"/>
    <w:qFormat/>
    <w:rsid w:val="00D8456C"/>
  </w:style>
  <w:style w:type="character" w:customStyle="1" w:styleId="news-designed-for-consumer-media">
    <w:name w:val="news-designed-for-consumer-media"/>
    <w:basedOn w:val="DefaultParagraphFont"/>
    <w:rsid w:val="00D8456C"/>
  </w:style>
  <w:style w:type="character" w:styleId="Emphasis">
    <w:name w:val="Emphasis"/>
    <w:basedOn w:val="DefaultParagraphFont"/>
    <w:uiPriority w:val="20"/>
    <w:qFormat/>
    <w:rsid w:val="00D8456C"/>
    <w:rPr>
      <w:i/>
      <w:iCs/>
    </w:rPr>
  </w:style>
  <w:style w:type="paragraph" w:customStyle="1" w:styleId="body-graf">
    <w:name w:val="body-graf"/>
    <w:basedOn w:val="Normal"/>
    <w:rsid w:val="00B160CA"/>
    <w:pPr>
      <w:spacing w:before="100" w:beforeAutospacing="1" w:after="100" w:afterAutospacing="1"/>
    </w:pPr>
    <w:rPr>
      <w:lang w:val="en-US" w:eastAsia="en-US"/>
    </w:rPr>
  </w:style>
  <w:style w:type="paragraph" w:customStyle="1" w:styleId="endmark">
    <w:name w:val="endmark"/>
    <w:basedOn w:val="Normal"/>
    <w:rsid w:val="00B160CA"/>
    <w:pPr>
      <w:spacing w:before="100" w:beforeAutospacing="1" w:after="100" w:afterAutospacing="1"/>
    </w:pPr>
    <w:rPr>
      <w:lang w:val="en-US" w:eastAsia="en-US"/>
    </w:rPr>
  </w:style>
  <w:style w:type="paragraph" w:customStyle="1" w:styleId="story-textparagraph">
    <w:name w:val="story-text__paragraph"/>
    <w:basedOn w:val="Normal"/>
    <w:rsid w:val="00B160CA"/>
    <w:pPr>
      <w:spacing w:before="100" w:beforeAutospacing="1" w:after="100" w:afterAutospacing="1"/>
    </w:pPr>
    <w:rPr>
      <w:lang w:val="en-US" w:eastAsia="en-US"/>
    </w:rPr>
  </w:style>
  <w:style w:type="character" w:customStyle="1" w:styleId="quoteinbody-quotenamecontainer">
    <w:name w:val="quoteinbody-quotenamecontainer"/>
    <w:basedOn w:val="DefaultParagraphFont"/>
    <w:rsid w:val="00B160CA"/>
  </w:style>
  <w:style w:type="paragraph" w:customStyle="1" w:styleId="wpds-c-hefnvf">
    <w:name w:val="wpds-c-hefnvf"/>
    <w:basedOn w:val="Normal"/>
    <w:rsid w:val="000A6FB7"/>
    <w:pPr>
      <w:spacing w:before="100" w:beforeAutospacing="1" w:after="100" w:afterAutospacing="1"/>
    </w:pPr>
    <w:rPr>
      <w:lang w:val="en-US" w:eastAsia="en-US"/>
    </w:rPr>
  </w:style>
  <w:style w:type="paragraph" w:styleId="HTMLPreformatted">
    <w:name w:val="HTML Preformatted"/>
    <w:basedOn w:val="Normal"/>
    <w:link w:val="HTMLPreformattedChar"/>
    <w:uiPriority w:val="99"/>
    <w:semiHidden/>
    <w:unhideWhenUsed/>
    <w:rsid w:val="00DD5E9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D5E9A"/>
    <w:rPr>
      <w:rFonts w:ascii="Consolas" w:eastAsia="Times New Roman" w:hAnsi="Consolas" w:cs="Times New Roman"/>
      <w:sz w:val="20"/>
      <w:szCs w:val="20"/>
      <w:lang w:val="el-GR" w:eastAsia="el-GR"/>
    </w:rPr>
  </w:style>
  <w:style w:type="character" w:customStyle="1" w:styleId="t286pc">
    <w:name w:val="t286pc"/>
    <w:basedOn w:val="DefaultParagraphFont"/>
    <w:rsid w:val="00D2008B"/>
  </w:style>
  <w:style w:type="character" w:customStyle="1" w:styleId="vkekvd">
    <w:name w:val="vkekvd"/>
    <w:basedOn w:val="DefaultParagraphFont"/>
    <w:rsid w:val="00D2008B"/>
  </w:style>
  <w:style w:type="table" w:styleId="TableGrid">
    <w:name w:val="Table Grid"/>
    <w:basedOn w:val="TableNormal"/>
    <w:uiPriority w:val="39"/>
    <w:rsid w:val="00C74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6025BF"/>
    <w:pPr>
      <w:spacing w:after="120"/>
    </w:pPr>
    <w:rPr>
      <w:sz w:val="26"/>
      <w:szCs w:val="20"/>
      <w:lang w:val="en-US" w:eastAsia="en-US"/>
    </w:rPr>
  </w:style>
  <w:style w:type="character" w:customStyle="1" w:styleId="BodyTextChar">
    <w:name w:val="Body Text Char"/>
    <w:basedOn w:val="DefaultParagraphFont"/>
    <w:link w:val="BodyText"/>
    <w:semiHidden/>
    <w:rsid w:val="006025BF"/>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0320">
      <w:bodyDiv w:val="1"/>
      <w:marLeft w:val="0"/>
      <w:marRight w:val="0"/>
      <w:marTop w:val="0"/>
      <w:marBottom w:val="0"/>
      <w:divBdr>
        <w:top w:val="none" w:sz="0" w:space="0" w:color="auto"/>
        <w:left w:val="none" w:sz="0" w:space="0" w:color="auto"/>
        <w:bottom w:val="none" w:sz="0" w:space="0" w:color="auto"/>
        <w:right w:val="none" w:sz="0" w:space="0" w:color="auto"/>
      </w:divBdr>
    </w:div>
    <w:div w:id="79834043">
      <w:bodyDiv w:val="1"/>
      <w:marLeft w:val="0"/>
      <w:marRight w:val="0"/>
      <w:marTop w:val="0"/>
      <w:marBottom w:val="0"/>
      <w:divBdr>
        <w:top w:val="none" w:sz="0" w:space="0" w:color="auto"/>
        <w:left w:val="none" w:sz="0" w:space="0" w:color="auto"/>
        <w:bottom w:val="none" w:sz="0" w:space="0" w:color="auto"/>
        <w:right w:val="none" w:sz="0" w:space="0" w:color="auto"/>
      </w:divBdr>
    </w:div>
    <w:div w:id="83190174">
      <w:bodyDiv w:val="1"/>
      <w:marLeft w:val="0"/>
      <w:marRight w:val="0"/>
      <w:marTop w:val="0"/>
      <w:marBottom w:val="0"/>
      <w:divBdr>
        <w:top w:val="none" w:sz="0" w:space="0" w:color="auto"/>
        <w:left w:val="none" w:sz="0" w:space="0" w:color="auto"/>
        <w:bottom w:val="none" w:sz="0" w:space="0" w:color="auto"/>
        <w:right w:val="none" w:sz="0" w:space="0" w:color="auto"/>
      </w:divBdr>
      <w:divsChild>
        <w:div w:id="1055817407">
          <w:marLeft w:val="0"/>
          <w:marRight w:val="0"/>
          <w:marTop w:val="0"/>
          <w:marBottom w:val="0"/>
          <w:divBdr>
            <w:top w:val="none" w:sz="0" w:space="0" w:color="auto"/>
            <w:left w:val="none" w:sz="0" w:space="0" w:color="auto"/>
            <w:bottom w:val="none" w:sz="0" w:space="0" w:color="auto"/>
            <w:right w:val="none" w:sz="0" w:space="0" w:color="auto"/>
          </w:divBdr>
        </w:div>
        <w:div w:id="1209146804">
          <w:marLeft w:val="0"/>
          <w:marRight w:val="0"/>
          <w:marTop w:val="0"/>
          <w:marBottom w:val="0"/>
          <w:divBdr>
            <w:top w:val="none" w:sz="0" w:space="0" w:color="auto"/>
            <w:left w:val="none" w:sz="0" w:space="0" w:color="auto"/>
            <w:bottom w:val="none" w:sz="0" w:space="0" w:color="auto"/>
            <w:right w:val="none" w:sz="0" w:space="0" w:color="auto"/>
          </w:divBdr>
          <w:divsChild>
            <w:div w:id="18992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0184">
      <w:bodyDiv w:val="1"/>
      <w:marLeft w:val="0"/>
      <w:marRight w:val="0"/>
      <w:marTop w:val="0"/>
      <w:marBottom w:val="0"/>
      <w:divBdr>
        <w:top w:val="none" w:sz="0" w:space="0" w:color="auto"/>
        <w:left w:val="none" w:sz="0" w:space="0" w:color="auto"/>
        <w:bottom w:val="none" w:sz="0" w:space="0" w:color="auto"/>
        <w:right w:val="none" w:sz="0" w:space="0" w:color="auto"/>
      </w:divBdr>
    </w:div>
    <w:div w:id="102581830">
      <w:bodyDiv w:val="1"/>
      <w:marLeft w:val="0"/>
      <w:marRight w:val="0"/>
      <w:marTop w:val="0"/>
      <w:marBottom w:val="0"/>
      <w:divBdr>
        <w:top w:val="none" w:sz="0" w:space="0" w:color="auto"/>
        <w:left w:val="none" w:sz="0" w:space="0" w:color="auto"/>
        <w:bottom w:val="none" w:sz="0" w:space="0" w:color="auto"/>
        <w:right w:val="none" w:sz="0" w:space="0" w:color="auto"/>
      </w:divBdr>
    </w:div>
    <w:div w:id="106971699">
      <w:bodyDiv w:val="1"/>
      <w:marLeft w:val="0"/>
      <w:marRight w:val="0"/>
      <w:marTop w:val="0"/>
      <w:marBottom w:val="0"/>
      <w:divBdr>
        <w:top w:val="none" w:sz="0" w:space="0" w:color="auto"/>
        <w:left w:val="none" w:sz="0" w:space="0" w:color="auto"/>
        <w:bottom w:val="none" w:sz="0" w:space="0" w:color="auto"/>
        <w:right w:val="none" w:sz="0" w:space="0" w:color="auto"/>
      </w:divBdr>
    </w:div>
    <w:div w:id="115293627">
      <w:bodyDiv w:val="1"/>
      <w:marLeft w:val="0"/>
      <w:marRight w:val="0"/>
      <w:marTop w:val="0"/>
      <w:marBottom w:val="0"/>
      <w:divBdr>
        <w:top w:val="none" w:sz="0" w:space="0" w:color="auto"/>
        <w:left w:val="none" w:sz="0" w:space="0" w:color="auto"/>
        <w:bottom w:val="none" w:sz="0" w:space="0" w:color="auto"/>
        <w:right w:val="none" w:sz="0" w:space="0" w:color="auto"/>
      </w:divBdr>
      <w:divsChild>
        <w:div w:id="962156915">
          <w:marLeft w:val="0"/>
          <w:marRight w:val="0"/>
          <w:marTop w:val="240"/>
          <w:marBottom w:val="240"/>
          <w:divBdr>
            <w:top w:val="none" w:sz="0" w:space="0" w:color="auto"/>
            <w:left w:val="none" w:sz="0" w:space="0" w:color="auto"/>
            <w:bottom w:val="none" w:sz="0" w:space="0" w:color="auto"/>
            <w:right w:val="none" w:sz="0" w:space="0" w:color="auto"/>
          </w:divBdr>
        </w:div>
        <w:div w:id="891309653">
          <w:marLeft w:val="0"/>
          <w:marRight w:val="0"/>
          <w:marTop w:val="450"/>
          <w:marBottom w:val="240"/>
          <w:divBdr>
            <w:top w:val="none" w:sz="0" w:space="0" w:color="auto"/>
            <w:left w:val="none" w:sz="0" w:space="0" w:color="auto"/>
            <w:bottom w:val="none" w:sz="0" w:space="0" w:color="auto"/>
            <w:right w:val="none" w:sz="0" w:space="0" w:color="auto"/>
          </w:divBdr>
        </w:div>
        <w:div w:id="1014961625">
          <w:marLeft w:val="0"/>
          <w:marRight w:val="0"/>
          <w:marTop w:val="240"/>
          <w:marBottom w:val="240"/>
          <w:divBdr>
            <w:top w:val="none" w:sz="0" w:space="0" w:color="auto"/>
            <w:left w:val="none" w:sz="0" w:space="0" w:color="auto"/>
            <w:bottom w:val="none" w:sz="0" w:space="0" w:color="auto"/>
            <w:right w:val="none" w:sz="0" w:space="0" w:color="auto"/>
          </w:divBdr>
        </w:div>
        <w:div w:id="177815825">
          <w:marLeft w:val="0"/>
          <w:marRight w:val="0"/>
          <w:marTop w:val="450"/>
          <w:marBottom w:val="240"/>
          <w:divBdr>
            <w:top w:val="none" w:sz="0" w:space="0" w:color="auto"/>
            <w:left w:val="none" w:sz="0" w:space="0" w:color="auto"/>
            <w:bottom w:val="none" w:sz="0" w:space="0" w:color="auto"/>
            <w:right w:val="none" w:sz="0" w:space="0" w:color="auto"/>
          </w:divBdr>
        </w:div>
        <w:div w:id="1129319521">
          <w:marLeft w:val="0"/>
          <w:marRight w:val="0"/>
          <w:marTop w:val="240"/>
          <w:marBottom w:val="240"/>
          <w:divBdr>
            <w:top w:val="none" w:sz="0" w:space="0" w:color="auto"/>
            <w:left w:val="none" w:sz="0" w:space="0" w:color="auto"/>
            <w:bottom w:val="none" w:sz="0" w:space="0" w:color="auto"/>
            <w:right w:val="none" w:sz="0" w:space="0" w:color="auto"/>
          </w:divBdr>
        </w:div>
        <w:div w:id="1704474127">
          <w:marLeft w:val="0"/>
          <w:marRight w:val="0"/>
          <w:marTop w:val="240"/>
          <w:marBottom w:val="240"/>
          <w:divBdr>
            <w:top w:val="none" w:sz="0" w:space="0" w:color="auto"/>
            <w:left w:val="none" w:sz="0" w:space="0" w:color="auto"/>
            <w:bottom w:val="none" w:sz="0" w:space="0" w:color="auto"/>
            <w:right w:val="none" w:sz="0" w:space="0" w:color="auto"/>
          </w:divBdr>
        </w:div>
      </w:divsChild>
    </w:div>
    <w:div w:id="116066769">
      <w:bodyDiv w:val="1"/>
      <w:marLeft w:val="0"/>
      <w:marRight w:val="0"/>
      <w:marTop w:val="0"/>
      <w:marBottom w:val="0"/>
      <w:divBdr>
        <w:top w:val="none" w:sz="0" w:space="0" w:color="auto"/>
        <w:left w:val="none" w:sz="0" w:space="0" w:color="auto"/>
        <w:bottom w:val="none" w:sz="0" w:space="0" w:color="auto"/>
        <w:right w:val="none" w:sz="0" w:space="0" w:color="auto"/>
      </w:divBdr>
    </w:div>
    <w:div w:id="117190960">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sChild>
        <w:div w:id="404301126">
          <w:marLeft w:val="0"/>
          <w:marRight w:val="0"/>
          <w:marTop w:val="180"/>
          <w:marBottom w:val="240"/>
          <w:divBdr>
            <w:top w:val="none" w:sz="0" w:space="0" w:color="auto"/>
            <w:left w:val="none" w:sz="0" w:space="0" w:color="auto"/>
            <w:bottom w:val="none" w:sz="0" w:space="0" w:color="auto"/>
            <w:right w:val="none" w:sz="0" w:space="0" w:color="auto"/>
          </w:divBdr>
        </w:div>
      </w:divsChild>
    </w:div>
    <w:div w:id="197739361">
      <w:bodyDiv w:val="1"/>
      <w:marLeft w:val="0"/>
      <w:marRight w:val="0"/>
      <w:marTop w:val="0"/>
      <w:marBottom w:val="0"/>
      <w:divBdr>
        <w:top w:val="none" w:sz="0" w:space="0" w:color="auto"/>
        <w:left w:val="none" w:sz="0" w:space="0" w:color="auto"/>
        <w:bottom w:val="none" w:sz="0" w:space="0" w:color="auto"/>
        <w:right w:val="none" w:sz="0" w:space="0" w:color="auto"/>
      </w:divBdr>
    </w:div>
    <w:div w:id="232933953">
      <w:bodyDiv w:val="1"/>
      <w:marLeft w:val="0"/>
      <w:marRight w:val="0"/>
      <w:marTop w:val="0"/>
      <w:marBottom w:val="0"/>
      <w:divBdr>
        <w:top w:val="none" w:sz="0" w:space="0" w:color="auto"/>
        <w:left w:val="none" w:sz="0" w:space="0" w:color="auto"/>
        <w:bottom w:val="none" w:sz="0" w:space="0" w:color="auto"/>
        <w:right w:val="none" w:sz="0" w:space="0" w:color="auto"/>
      </w:divBdr>
    </w:div>
    <w:div w:id="243347141">
      <w:bodyDiv w:val="1"/>
      <w:marLeft w:val="0"/>
      <w:marRight w:val="0"/>
      <w:marTop w:val="0"/>
      <w:marBottom w:val="0"/>
      <w:divBdr>
        <w:top w:val="none" w:sz="0" w:space="0" w:color="auto"/>
        <w:left w:val="none" w:sz="0" w:space="0" w:color="auto"/>
        <w:bottom w:val="none" w:sz="0" w:space="0" w:color="auto"/>
        <w:right w:val="none" w:sz="0" w:space="0" w:color="auto"/>
      </w:divBdr>
    </w:div>
    <w:div w:id="243688913">
      <w:bodyDiv w:val="1"/>
      <w:marLeft w:val="0"/>
      <w:marRight w:val="0"/>
      <w:marTop w:val="0"/>
      <w:marBottom w:val="0"/>
      <w:divBdr>
        <w:top w:val="none" w:sz="0" w:space="0" w:color="auto"/>
        <w:left w:val="none" w:sz="0" w:space="0" w:color="auto"/>
        <w:bottom w:val="none" w:sz="0" w:space="0" w:color="auto"/>
        <w:right w:val="none" w:sz="0" w:space="0" w:color="auto"/>
      </w:divBdr>
    </w:div>
    <w:div w:id="250285694">
      <w:bodyDiv w:val="1"/>
      <w:marLeft w:val="0"/>
      <w:marRight w:val="0"/>
      <w:marTop w:val="0"/>
      <w:marBottom w:val="0"/>
      <w:divBdr>
        <w:top w:val="none" w:sz="0" w:space="0" w:color="auto"/>
        <w:left w:val="none" w:sz="0" w:space="0" w:color="auto"/>
        <w:bottom w:val="none" w:sz="0" w:space="0" w:color="auto"/>
        <w:right w:val="none" w:sz="0" w:space="0" w:color="auto"/>
      </w:divBdr>
    </w:div>
    <w:div w:id="325674852">
      <w:bodyDiv w:val="1"/>
      <w:marLeft w:val="0"/>
      <w:marRight w:val="0"/>
      <w:marTop w:val="0"/>
      <w:marBottom w:val="0"/>
      <w:divBdr>
        <w:top w:val="none" w:sz="0" w:space="0" w:color="auto"/>
        <w:left w:val="none" w:sz="0" w:space="0" w:color="auto"/>
        <w:bottom w:val="none" w:sz="0" w:space="0" w:color="auto"/>
        <w:right w:val="none" w:sz="0" w:space="0" w:color="auto"/>
      </w:divBdr>
    </w:div>
    <w:div w:id="330649041">
      <w:bodyDiv w:val="1"/>
      <w:marLeft w:val="0"/>
      <w:marRight w:val="0"/>
      <w:marTop w:val="0"/>
      <w:marBottom w:val="0"/>
      <w:divBdr>
        <w:top w:val="none" w:sz="0" w:space="0" w:color="auto"/>
        <w:left w:val="none" w:sz="0" w:space="0" w:color="auto"/>
        <w:bottom w:val="none" w:sz="0" w:space="0" w:color="auto"/>
        <w:right w:val="none" w:sz="0" w:space="0" w:color="auto"/>
      </w:divBdr>
    </w:div>
    <w:div w:id="348993121">
      <w:bodyDiv w:val="1"/>
      <w:marLeft w:val="0"/>
      <w:marRight w:val="0"/>
      <w:marTop w:val="0"/>
      <w:marBottom w:val="0"/>
      <w:divBdr>
        <w:top w:val="none" w:sz="0" w:space="0" w:color="auto"/>
        <w:left w:val="none" w:sz="0" w:space="0" w:color="auto"/>
        <w:bottom w:val="none" w:sz="0" w:space="0" w:color="auto"/>
        <w:right w:val="none" w:sz="0" w:space="0" w:color="auto"/>
      </w:divBdr>
    </w:div>
    <w:div w:id="360591047">
      <w:bodyDiv w:val="1"/>
      <w:marLeft w:val="0"/>
      <w:marRight w:val="0"/>
      <w:marTop w:val="0"/>
      <w:marBottom w:val="0"/>
      <w:divBdr>
        <w:top w:val="none" w:sz="0" w:space="0" w:color="auto"/>
        <w:left w:val="none" w:sz="0" w:space="0" w:color="auto"/>
        <w:bottom w:val="none" w:sz="0" w:space="0" w:color="auto"/>
        <w:right w:val="none" w:sz="0" w:space="0" w:color="auto"/>
      </w:divBdr>
    </w:div>
    <w:div w:id="497884106">
      <w:bodyDiv w:val="1"/>
      <w:marLeft w:val="0"/>
      <w:marRight w:val="0"/>
      <w:marTop w:val="0"/>
      <w:marBottom w:val="0"/>
      <w:divBdr>
        <w:top w:val="none" w:sz="0" w:space="0" w:color="auto"/>
        <w:left w:val="none" w:sz="0" w:space="0" w:color="auto"/>
        <w:bottom w:val="none" w:sz="0" w:space="0" w:color="auto"/>
        <w:right w:val="none" w:sz="0" w:space="0" w:color="auto"/>
      </w:divBdr>
    </w:div>
    <w:div w:id="546769250">
      <w:bodyDiv w:val="1"/>
      <w:marLeft w:val="0"/>
      <w:marRight w:val="0"/>
      <w:marTop w:val="0"/>
      <w:marBottom w:val="0"/>
      <w:divBdr>
        <w:top w:val="none" w:sz="0" w:space="0" w:color="auto"/>
        <w:left w:val="none" w:sz="0" w:space="0" w:color="auto"/>
        <w:bottom w:val="none" w:sz="0" w:space="0" w:color="auto"/>
        <w:right w:val="none" w:sz="0" w:space="0" w:color="auto"/>
      </w:divBdr>
      <w:divsChild>
        <w:div w:id="480272906">
          <w:marLeft w:val="0"/>
          <w:marRight w:val="0"/>
          <w:marTop w:val="240"/>
          <w:marBottom w:val="240"/>
          <w:divBdr>
            <w:top w:val="none" w:sz="0" w:space="0" w:color="auto"/>
            <w:left w:val="none" w:sz="0" w:space="0" w:color="auto"/>
            <w:bottom w:val="none" w:sz="0" w:space="0" w:color="auto"/>
            <w:right w:val="none" w:sz="0" w:space="0" w:color="auto"/>
          </w:divBdr>
        </w:div>
        <w:div w:id="1291284081">
          <w:marLeft w:val="0"/>
          <w:marRight w:val="0"/>
          <w:marTop w:val="240"/>
          <w:marBottom w:val="240"/>
          <w:divBdr>
            <w:top w:val="none" w:sz="0" w:space="0" w:color="auto"/>
            <w:left w:val="none" w:sz="0" w:space="0" w:color="auto"/>
            <w:bottom w:val="none" w:sz="0" w:space="0" w:color="auto"/>
            <w:right w:val="none" w:sz="0" w:space="0" w:color="auto"/>
          </w:divBdr>
        </w:div>
        <w:div w:id="163740853">
          <w:marLeft w:val="0"/>
          <w:marRight w:val="0"/>
          <w:marTop w:val="240"/>
          <w:marBottom w:val="240"/>
          <w:divBdr>
            <w:top w:val="none" w:sz="0" w:space="0" w:color="auto"/>
            <w:left w:val="none" w:sz="0" w:space="0" w:color="auto"/>
            <w:bottom w:val="none" w:sz="0" w:space="0" w:color="auto"/>
            <w:right w:val="none" w:sz="0" w:space="0" w:color="auto"/>
          </w:divBdr>
        </w:div>
        <w:div w:id="1079054896">
          <w:marLeft w:val="0"/>
          <w:marRight w:val="0"/>
          <w:marTop w:val="240"/>
          <w:marBottom w:val="240"/>
          <w:divBdr>
            <w:top w:val="none" w:sz="0" w:space="0" w:color="auto"/>
            <w:left w:val="none" w:sz="0" w:space="0" w:color="auto"/>
            <w:bottom w:val="none" w:sz="0" w:space="0" w:color="auto"/>
            <w:right w:val="none" w:sz="0" w:space="0" w:color="auto"/>
          </w:divBdr>
        </w:div>
        <w:div w:id="1494754681">
          <w:marLeft w:val="0"/>
          <w:marRight w:val="0"/>
          <w:marTop w:val="240"/>
          <w:marBottom w:val="240"/>
          <w:divBdr>
            <w:top w:val="none" w:sz="0" w:space="0" w:color="auto"/>
            <w:left w:val="none" w:sz="0" w:space="0" w:color="auto"/>
            <w:bottom w:val="none" w:sz="0" w:space="0" w:color="auto"/>
            <w:right w:val="none" w:sz="0" w:space="0" w:color="auto"/>
          </w:divBdr>
        </w:div>
        <w:div w:id="664164859">
          <w:marLeft w:val="0"/>
          <w:marRight w:val="0"/>
          <w:marTop w:val="240"/>
          <w:marBottom w:val="240"/>
          <w:divBdr>
            <w:top w:val="none" w:sz="0" w:space="0" w:color="auto"/>
            <w:left w:val="none" w:sz="0" w:space="0" w:color="auto"/>
            <w:bottom w:val="none" w:sz="0" w:space="0" w:color="auto"/>
            <w:right w:val="none" w:sz="0" w:space="0" w:color="auto"/>
          </w:divBdr>
        </w:div>
      </w:divsChild>
    </w:div>
    <w:div w:id="555506471">
      <w:bodyDiv w:val="1"/>
      <w:marLeft w:val="0"/>
      <w:marRight w:val="0"/>
      <w:marTop w:val="0"/>
      <w:marBottom w:val="0"/>
      <w:divBdr>
        <w:top w:val="none" w:sz="0" w:space="0" w:color="auto"/>
        <w:left w:val="none" w:sz="0" w:space="0" w:color="auto"/>
        <w:bottom w:val="none" w:sz="0" w:space="0" w:color="auto"/>
        <w:right w:val="none" w:sz="0" w:space="0" w:color="auto"/>
      </w:divBdr>
    </w:div>
    <w:div w:id="590234255">
      <w:bodyDiv w:val="1"/>
      <w:marLeft w:val="0"/>
      <w:marRight w:val="0"/>
      <w:marTop w:val="0"/>
      <w:marBottom w:val="0"/>
      <w:divBdr>
        <w:top w:val="none" w:sz="0" w:space="0" w:color="auto"/>
        <w:left w:val="none" w:sz="0" w:space="0" w:color="auto"/>
        <w:bottom w:val="none" w:sz="0" w:space="0" w:color="auto"/>
        <w:right w:val="none" w:sz="0" w:space="0" w:color="auto"/>
      </w:divBdr>
    </w:div>
    <w:div w:id="594679148">
      <w:bodyDiv w:val="1"/>
      <w:marLeft w:val="0"/>
      <w:marRight w:val="0"/>
      <w:marTop w:val="0"/>
      <w:marBottom w:val="0"/>
      <w:divBdr>
        <w:top w:val="none" w:sz="0" w:space="0" w:color="auto"/>
        <w:left w:val="none" w:sz="0" w:space="0" w:color="auto"/>
        <w:bottom w:val="none" w:sz="0" w:space="0" w:color="auto"/>
        <w:right w:val="none" w:sz="0" w:space="0" w:color="auto"/>
      </w:divBdr>
    </w:div>
    <w:div w:id="654913057">
      <w:bodyDiv w:val="1"/>
      <w:marLeft w:val="0"/>
      <w:marRight w:val="0"/>
      <w:marTop w:val="0"/>
      <w:marBottom w:val="0"/>
      <w:divBdr>
        <w:top w:val="none" w:sz="0" w:space="0" w:color="auto"/>
        <w:left w:val="none" w:sz="0" w:space="0" w:color="auto"/>
        <w:bottom w:val="none" w:sz="0" w:space="0" w:color="auto"/>
        <w:right w:val="none" w:sz="0" w:space="0" w:color="auto"/>
      </w:divBdr>
    </w:div>
    <w:div w:id="683048691">
      <w:bodyDiv w:val="1"/>
      <w:marLeft w:val="0"/>
      <w:marRight w:val="0"/>
      <w:marTop w:val="0"/>
      <w:marBottom w:val="0"/>
      <w:divBdr>
        <w:top w:val="none" w:sz="0" w:space="0" w:color="auto"/>
        <w:left w:val="none" w:sz="0" w:space="0" w:color="auto"/>
        <w:bottom w:val="none" w:sz="0" w:space="0" w:color="auto"/>
        <w:right w:val="none" w:sz="0" w:space="0" w:color="auto"/>
      </w:divBdr>
    </w:div>
    <w:div w:id="703798522">
      <w:bodyDiv w:val="1"/>
      <w:marLeft w:val="0"/>
      <w:marRight w:val="0"/>
      <w:marTop w:val="0"/>
      <w:marBottom w:val="0"/>
      <w:divBdr>
        <w:top w:val="none" w:sz="0" w:space="0" w:color="auto"/>
        <w:left w:val="none" w:sz="0" w:space="0" w:color="auto"/>
        <w:bottom w:val="none" w:sz="0" w:space="0" w:color="auto"/>
        <w:right w:val="none" w:sz="0" w:space="0" w:color="auto"/>
      </w:divBdr>
      <w:divsChild>
        <w:div w:id="666832905">
          <w:marLeft w:val="0"/>
          <w:marRight w:val="0"/>
          <w:marTop w:val="0"/>
          <w:marBottom w:val="0"/>
          <w:divBdr>
            <w:top w:val="none" w:sz="0" w:space="0" w:color="auto"/>
            <w:left w:val="none" w:sz="0" w:space="0" w:color="auto"/>
            <w:bottom w:val="none" w:sz="0" w:space="0" w:color="auto"/>
            <w:right w:val="none" w:sz="0" w:space="0" w:color="auto"/>
          </w:divBdr>
          <w:divsChild>
            <w:div w:id="841433959">
              <w:marLeft w:val="0"/>
              <w:marRight w:val="0"/>
              <w:marTop w:val="0"/>
              <w:marBottom w:val="0"/>
              <w:divBdr>
                <w:top w:val="none" w:sz="0" w:space="0" w:color="auto"/>
                <w:left w:val="none" w:sz="0" w:space="0" w:color="auto"/>
                <w:bottom w:val="none" w:sz="0" w:space="0" w:color="auto"/>
                <w:right w:val="none" w:sz="0" w:space="0" w:color="auto"/>
              </w:divBdr>
            </w:div>
            <w:div w:id="169063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40193">
      <w:bodyDiv w:val="1"/>
      <w:marLeft w:val="0"/>
      <w:marRight w:val="0"/>
      <w:marTop w:val="0"/>
      <w:marBottom w:val="0"/>
      <w:divBdr>
        <w:top w:val="none" w:sz="0" w:space="0" w:color="auto"/>
        <w:left w:val="none" w:sz="0" w:space="0" w:color="auto"/>
        <w:bottom w:val="none" w:sz="0" w:space="0" w:color="auto"/>
        <w:right w:val="none" w:sz="0" w:space="0" w:color="auto"/>
      </w:divBdr>
    </w:div>
    <w:div w:id="778985274">
      <w:bodyDiv w:val="1"/>
      <w:marLeft w:val="0"/>
      <w:marRight w:val="0"/>
      <w:marTop w:val="0"/>
      <w:marBottom w:val="0"/>
      <w:divBdr>
        <w:top w:val="none" w:sz="0" w:space="0" w:color="auto"/>
        <w:left w:val="none" w:sz="0" w:space="0" w:color="auto"/>
        <w:bottom w:val="none" w:sz="0" w:space="0" w:color="auto"/>
        <w:right w:val="none" w:sz="0" w:space="0" w:color="auto"/>
      </w:divBdr>
    </w:div>
    <w:div w:id="827284916">
      <w:bodyDiv w:val="1"/>
      <w:marLeft w:val="0"/>
      <w:marRight w:val="0"/>
      <w:marTop w:val="0"/>
      <w:marBottom w:val="0"/>
      <w:divBdr>
        <w:top w:val="none" w:sz="0" w:space="0" w:color="auto"/>
        <w:left w:val="none" w:sz="0" w:space="0" w:color="auto"/>
        <w:bottom w:val="none" w:sz="0" w:space="0" w:color="auto"/>
        <w:right w:val="none" w:sz="0" w:space="0" w:color="auto"/>
      </w:divBdr>
    </w:div>
    <w:div w:id="858660381">
      <w:bodyDiv w:val="1"/>
      <w:marLeft w:val="0"/>
      <w:marRight w:val="0"/>
      <w:marTop w:val="0"/>
      <w:marBottom w:val="0"/>
      <w:divBdr>
        <w:top w:val="none" w:sz="0" w:space="0" w:color="auto"/>
        <w:left w:val="none" w:sz="0" w:space="0" w:color="auto"/>
        <w:bottom w:val="none" w:sz="0" w:space="0" w:color="auto"/>
        <w:right w:val="none" w:sz="0" w:space="0" w:color="auto"/>
      </w:divBdr>
    </w:div>
    <w:div w:id="890001055">
      <w:bodyDiv w:val="1"/>
      <w:marLeft w:val="0"/>
      <w:marRight w:val="0"/>
      <w:marTop w:val="0"/>
      <w:marBottom w:val="0"/>
      <w:divBdr>
        <w:top w:val="none" w:sz="0" w:space="0" w:color="auto"/>
        <w:left w:val="none" w:sz="0" w:space="0" w:color="auto"/>
        <w:bottom w:val="none" w:sz="0" w:space="0" w:color="auto"/>
        <w:right w:val="none" w:sz="0" w:space="0" w:color="auto"/>
      </w:divBdr>
    </w:div>
    <w:div w:id="957679534">
      <w:bodyDiv w:val="1"/>
      <w:marLeft w:val="0"/>
      <w:marRight w:val="0"/>
      <w:marTop w:val="0"/>
      <w:marBottom w:val="0"/>
      <w:divBdr>
        <w:top w:val="none" w:sz="0" w:space="0" w:color="auto"/>
        <w:left w:val="none" w:sz="0" w:space="0" w:color="auto"/>
        <w:bottom w:val="none" w:sz="0" w:space="0" w:color="auto"/>
        <w:right w:val="none" w:sz="0" w:space="0" w:color="auto"/>
      </w:divBdr>
    </w:div>
    <w:div w:id="972321502">
      <w:bodyDiv w:val="1"/>
      <w:marLeft w:val="0"/>
      <w:marRight w:val="0"/>
      <w:marTop w:val="0"/>
      <w:marBottom w:val="0"/>
      <w:divBdr>
        <w:top w:val="none" w:sz="0" w:space="0" w:color="auto"/>
        <w:left w:val="none" w:sz="0" w:space="0" w:color="auto"/>
        <w:bottom w:val="none" w:sz="0" w:space="0" w:color="auto"/>
        <w:right w:val="none" w:sz="0" w:space="0" w:color="auto"/>
      </w:divBdr>
      <w:divsChild>
        <w:div w:id="555244484">
          <w:marLeft w:val="0"/>
          <w:marRight w:val="0"/>
          <w:marTop w:val="0"/>
          <w:marBottom w:val="0"/>
          <w:divBdr>
            <w:top w:val="none" w:sz="0" w:space="0" w:color="auto"/>
            <w:left w:val="none" w:sz="0" w:space="0" w:color="auto"/>
            <w:bottom w:val="none" w:sz="0" w:space="0" w:color="auto"/>
            <w:right w:val="none" w:sz="0" w:space="0" w:color="auto"/>
          </w:divBdr>
        </w:div>
        <w:div w:id="231308492">
          <w:marLeft w:val="0"/>
          <w:marRight w:val="0"/>
          <w:marTop w:val="0"/>
          <w:marBottom w:val="0"/>
          <w:divBdr>
            <w:top w:val="none" w:sz="0" w:space="0" w:color="auto"/>
            <w:left w:val="none" w:sz="0" w:space="0" w:color="auto"/>
            <w:bottom w:val="none" w:sz="0" w:space="0" w:color="auto"/>
            <w:right w:val="none" w:sz="0" w:space="0" w:color="auto"/>
          </w:divBdr>
        </w:div>
      </w:divsChild>
    </w:div>
    <w:div w:id="992608616">
      <w:bodyDiv w:val="1"/>
      <w:marLeft w:val="0"/>
      <w:marRight w:val="0"/>
      <w:marTop w:val="0"/>
      <w:marBottom w:val="0"/>
      <w:divBdr>
        <w:top w:val="none" w:sz="0" w:space="0" w:color="auto"/>
        <w:left w:val="none" w:sz="0" w:space="0" w:color="auto"/>
        <w:bottom w:val="none" w:sz="0" w:space="0" w:color="auto"/>
        <w:right w:val="none" w:sz="0" w:space="0" w:color="auto"/>
      </w:divBdr>
    </w:div>
    <w:div w:id="1003165386">
      <w:bodyDiv w:val="1"/>
      <w:marLeft w:val="0"/>
      <w:marRight w:val="0"/>
      <w:marTop w:val="0"/>
      <w:marBottom w:val="0"/>
      <w:divBdr>
        <w:top w:val="none" w:sz="0" w:space="0" w:color="auto"/>
        <w:left w:val="none" w:sz="0" w:space="0" w:color="auto"/>
        <w:bottom w:val="none" w:sz="0" w:space="0" w:color="auto"/>
        <w:right w:val="none" w:sz="0" w:space="0" w:color="auto"/>
      </w:divBdr>
    </w:div>
    <w:div w:id="1011175763">
      <w:bodyDiv w:val="1"/>
      <w:marLeft w:val="0"/>
      <w:marRight w:val="0"/>
      <w:marTop w:val="0"/>
      <w:marBottom w:val="0"/>
      <w:divBdr>
        <w:top w:val="none" w:sz="0" w:space="0" w:color="auto"/>
        <w:left w:val="none" w:sz="0" w:space="0" w:color="auto"/>
        <w:bottom w:val="none" w:sz="0" w:space="0" w:color="auto"/>
        <w:right w:val="none" w:sz="0" w:space="0" w:color="auto"/>
      </w:divBdr>
    </w:div>
    <w:div w:id="1035349848">
      <w:bodyDiv w:val="1"/>
      <w:marLeft w:val="0"/>
      <w:marRight w:val="0"/>
      <w:marTop w:val="0"/>
      <w:marBottom w:val="0"/>
      <w:divBdr>
        <w:top w:val="none" w:sz="0" w:space="0" w:color="auto"/>
        <w:left w:val="none" w:sz="0" w:space="0" w:color="auto"/>
        <w:bottom w:val="none" w:sz="0" w:space="0" w:color="auto"/>
        <w:right w:val="none" w:sz="0" w:space="0" w:color="auto"/>
      </w:divBdr>
    </w:div>
    <w:div w:id="1037631697">
      <w:bodyDiv w:val="1"/>
      <w:marLeft w:val="0"/>
      <w:marRight w:val="0"/>
      <w:marTop w:val="0"/>
      <w:marBottom w:val="0"/>
      <w:divBdr>
        <w:top w:val="none" w:sz="0" w:space="0" w:color="auto"/>
        <w:left w:val="none" w:sz="0" w:space="0" w:color="auto"/>
        <w:bottom w:val="none" w:sz="0" w:space="0" w:color="auto"/>
        <w:right w:val="none" w:sz="0" w:space="0" w:color="auto"/>
      </w:divBdr>
    </w:div>
    <w:div w:id="1051733866">
      <w:bodyDiv w:val="1"/>
      <w:marLeft w:val="0"/>
      <w:marRight w:val="0"/>
      <w:marTop w:val="0"/>
      <w:marBottom w:val="0"/>
      <w:divBdr>
        <w:top w:val="none" w:sz="0" w:space="0" w:color="auto"/>
        <w:left w:val="none" w:sz="0" w:space="0" w:color="auto"/>
        <w:bottom w:val="none" w:sz="0" w:space="0" w:color="auto"/>
        <w:right w:val="none" w:sz="0" w:space="0" w:color="auto"/>
      </w:divBdr>
    </w:div>
    <w:div w:id="1086927175">
      <w:bodyDiv w:val="1"/>
      <w:marLeft w:val="0"/>
      <w:marRight w:val="0"/>
      <w:marTop w:val="0"/>
      <w:marBottom w:val="0"/>
      <w:divBdr>
        <w:top w:val="none" w:sz="0" w:space="0" w:color="auto"/>
        <w:left w:val="none" w:sz="0" w:space="0" w:color="auto"/>
        <w:bottom w:val="none" w:sz="0" w:space="0" w:color="auto"/>
        <w:right w:val="none" w:sz="0" w:space="0" w:color="auto"/>
      </w:divBdr>
    </w:div>
    <w:div w:id="1101295661">
      <w:bodyDiv w:val="1"/>
      <w:marLeft w:val="0"/>
      <w:marRight w:val="0"/>
      <w:marTop w:val="0"/>
      <w:marBottom w:val="0"/>
      <w:divBdr>
        <w:top w:val="none" w:sz="0" w:space="0" w:color="auto"/>
        <w:left w:val="none" w:sz="0" w:space="0" w:color="auto"/>
        <w:bottom w:val="none" w:sz="0" w:space="0" w:color="auto"/>
        <w:right w:val="none" w:sz="0" w:space="0" w:color="auto"/>
      </w:divBdr>
    </w:div>
    <w:div w:id="1131631487">
      <w:bodyDiv w:val="1"/>
      <w:marLeft w:val="0"/>
      <w:marRight w:val="0"/>
      <w:marTop w:val="0"/>
      <w:marBottom w:val="0"/>
      <w:divBdr>
        <w:top w:val="none" w:sz="0" w:space="0" w:color="auto"/>
        <w:left w:val="none" w:sz="0" w:space="0" w:color="auto"/>
        <w:bottom w:val="none" w:sz="0" w:space="0" w:color="auto"/>
        <w:right w:val="none" w:sz="0" w:space="0" w:color="auto"/>
      </w:divBdr>
    </w:div>
    <w:div w:id="1208759688">
      <w:bodyDiv w:val="1"/>
      <w:marLeft w:val="0"/>
      <w:marRight w:val="0"/>
      <w:marTop w:val="0"/>
      <w:marBottom w:val="0"/>
      <w:divBdr>
        <w:top w:val="none" w:sz="0" w:space="0" w:color="auto"/>
        <w:left w:val="none" w:sz="0" w:space="0" w:color="auto"/>
        <w:bottom w:val="none" w:sz="0" w:space="0" w:color="auto"/>
        <w:right w:val="none" w:sz="0" w:space="0" w:color="auto"/>
      </w:divBdr>
    </w:div>
    <w:div w:id="1213150835">
      <w:bodyDiv w:val="1"/>
      <w:marLeft w:val="0"/>
      <w:marRight w:val="0"/>
      <w:marTop w:val="0"/>
      <w:marBottom w:val="0"/>
      <w:divBdr>
        <w:top w:val="none" w:sz="0" w:space="0" w:color="auto"/>
        <w:left w:val="none" w:sz="0" w:space="0" w:color="auto"/>
        <w:bottom w:val="none" w:sz="0" w:space="0" w:color="auto"/>
        <w:right w:val="none" w:sz="0" w:space="0" w:color="auto"/>
      </w:divBdr>
    </w:div>
    <w:div w:id="1273516825">
      <w:bodyDiv w:val="1"/>
      <w:marLeft w:val="0"/>
      <w:marRight w:val="0"/>
      <w:marTop w:val="0"/>
      <w:marBottom w:val="0"/>
      <w:divBdr>
        <w:top w:val="none" w:sz="0" w:space="0" w:color="auto"/>
        <w:left w:val="none" w:sz="0" w:space="0" w:color="auto"/>
        <w:bottom w:val="none" w:sz="0" w:space="0" w:color="auto"/>
        <w:right w:val="none" w:sz="0" w:space="0" w:color="auto"/>
      </w:divBdr>
    </w:div>
    <w:div w:id="1301693632">
      <w:bodyDiv w:val="1"/>
      <w:marLeft w:val="0"/>
      <w:marRight w:val="0"/>
      <w:marTop w:val="0"/>
      <w:marBottom w:val="0"/>
      <w:divBdr>
        <w:top w:val="none" w:sz="0" w:space="0" w:color="auto"/>
        <w:left w:val="none" w:sz="0" w:space="0" w:color="auto"/>
        <w:bottom w:val="none" w:sz="0" w:space="0" w:color="auto"/>
        <w:right w:val="none" w:sz="0" w:space="0" w:color="auto"/>
      </w:divBdr>
    </w:div>
    <w:div w:id="1306395043">
      <w:bodyDiv w:val="1"/>
      <w:marLeft w:val="0"/>
      <w:marRight w:val="0"/>
      <w:marTop w:val="0"/>
      <w:marBottom w:val="0"/>
      <w:divBdr>
        <w:top w:val="none" w:sz="0" w:space="0" w:color="auto"/>
        <w:left w:val="none" w:sz="0" w:space="0" w:color="auto"/>
        <w:bottom w:val="none" w:sz="0" w:space="0" w:color="auto"/>
        <w:right w:val="none" w:sz="0" w:space="0" w:color="auto"/>
      </w:divBdr>
    </w:div>
    <w:div w:id="1335451723">
      <w:bodyDiv w:val="1"/>
      <w:marLeft w:val="0"/>
      <w:marRight w:val="0"/>
      <w:marTop w:val="0"/>
      <w:marBottom w:val="0"/>
      <w:divBdr>
        <w:top w:val="none" w:sz="0" w:space="0" w:color="auto"/>
        <w:left w:val="none" w:sz="0" w:space="0" w:color="auto"/>
        <w:bottom w:val="none" w:sz="0" w:space="0" w:color="auto"/>
        <w:right w:val="none" w:sz="0" w:space="0" w:color="auto"/>
      </w:divBdr>
    </w:div>
    <w:div w:id="1393308363">
      <w:bodyDiv w:val="1"/>
      <w:marLeft w:val="0"/>
      <w:marRight w:val="0"/>
      <w:marTop w:val="0"/>
      <w:marBottom w:val="0"/>
      <w:divBdr>
        <w:top w:val="none" w:sz="0" w:space="0" w:color="auto"/>
        <w:left w:val="none" w:sz="0" w:space="0" w:color="auto"/>
        <w:bottom w:val="none" w:sz="0" w:space="0" w:color="auto"/>
        <w:right w:val="none" w:sz="0" w:space="0" w:color="auto"/>
      </w:divBdr>
    </w:div>
    <w:div w:id="1483503682">
      <w:bodyDiv w:val="1"/>
      <w:marLeft w:val="0"/>
      <w:marRight w:val="0"/>
      <w:marTop w:val="0"/>
      <w:marBottom w:val="0"/>
      <w:divBdr>
        <w:top w:val="none" w:sz="0" w:space="0" w:color="auto"/>
        <w:left w:val="none" w:sz="0" w:space="0" w:color="auto"/>
        <w:bottom w:val="none" w:sz="0" w:space="0" w:color="auto"/>
        <w:right w:val="none" w:sz="0" w:space="0" w:color="auto"/>
      </w:divBdr>
    </w:div>
    <w:div w:id="1503084672">
      <w:bodyDiv w:val="1"/>
      <w:marLeft w:val="0"/>
      <w:marRight w:val="0"/>
      <w:marTop w:val="0"/>
      <w:marBottom w:val="0"/>
      <w:divBdr>
        <w:top w:val="none" w:sz="0" w:space="0" w:color="auto"/>
        <w:left w:val="none" w:sz="0" w:space="0" w:color="auto"/>
        <w:bottom w:val="none" w:sz="0" w:space="0" w:color="auto"/>
        <w:right w:val="none" w:sz="0" w:space="0" w:color="auto"/>
      </w:divBdr>
    </w:div>
    <w:div w:id="1570652287">
      <w:bodyDiv w:val="1"/>
      <w:marLeft w:val="0"/>
      <w:marRight w:val="0"/>
      <w:marTop w:val="0"/>
      <w:marBottom w:val="0"/>
      <w:divBdr>
        <w:top w:val="none" w:sz="0" w:space="0" w:color="auto"/>
        <w:left w:val="none" w:sz="0" w:space="0" w:color="auto"/>
        <w:bottom w:val="none" w:sz="0" w:space="0" w:color="auto"/>
        <w:right w:val="none" w:sz="0" w:space="0" w:color="auto"/>
      </w:divBdr>
    </w:div>
    <w:div w:id="1585996875">
      <w:bodyDiv w:val="1"/>
      <w:marLeft w:val="0"/>
      <w:marRight w:val="0"/>
      <w:marTop w:val="0"/>
      <w:marBottom w:val="0"/>
      <w:divBdr>
        <w:top w:val="none" w:sz="0" w:space="0" w:color="auto"/>
        <w:left w:val="none" w:sz="0" w:space="0" w:color="auto"/>
        <w:bottom w:val="none" w:sz="0" w:space="0" w:color="auto"/>
        <w:right w:val="none" w:sz="0" w:space="0" w:color="auto"/>
      </w:divBdr>
    </w:div>
    <w:div w:id="1596329452">
      <w:bodyDiv w:val="1"/>
      <w:marLeft w:val="0"/>
      <w:marRight w:val="0"/>
      <w:marTop w:val="0"/>
      <w:marBottom w:val="0"/>
      <w:divBdr>
        <w:top w:val="none" w:sz="0" w:space="0" w:color="auto"/>
        <w:left w:val="none" w:sz="0" w:space="0" w:color="auto"/>
        <w:bottom w:val="none" w:sz="0" w:space="0" w:color="auto"/>
        <w:right w:val="none" w:sz="0" w:space="0" w:color="auto"/>
      </w:divBdr>
    </w:div>
    <w:div w:id="1618099954">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72485356">
      <w:bodyDiv w:val="1"/>
      <w:marLeft w:val="0"/>
      <w:marRight w:val="0"/>
      <w:marTop w:val="0"/>
      <w:marBottom w:val="0"/>
      <w:divBdr>
        <w:top w:val="none" w:sz="0" w:space="0" w:color="auto"/>
        <w:left w:val="none" w:sz="0" w:space="0" w:color="auto"/>
        <w:bottom w:val="none" w:sz="0" w:space="0" w:color="auto"/>
        <w:right w:val="none" w:sz="0" w:space="0" w:color="auto"/>
      </w:divBdr>
    </w:div>
    <w:div w:id="1720858826">
      <w:bodyDiv w:val="1"/>
      <w:marLeft w:val="0"/>
      <w:marRight w:val="0"/>
      <w:marTop w:val="0"/>
      <w:marBottom w:val="0"/>
      <w:divBdr>
        <w:top w:val="none" w:sz="0" w:space="0" w:color="auto"/>
        <w:left w:val="none" w:sz="0" w:space="0" w:color="auto"/>
        <w:bottom w:val="none" w:sz="0" w:space="0" w:color="auto"/>
        <w:right w:val="none" w:sz="0" w:space="0" w:color="auto"/>
      </w:divBdr>
    </w:div>
    <w:div w:id="1741556686">
      <w:bodyDiv w:val="1"/>
      <w:marLeft w:val="0"/>
      <w:marRight w:val="0"/>
      <w:marTop w:val="0"/>
      <w:marBottom w:val="0"/>
      <w:divBdr>
        <w:top w:val="none" w:sz="0" w:space="0" w:color="auto"/>
        <w:left w:val="none" w:sz="0" w:space="0" w:color="auto"/>
        <w:bottom w:val="none" w:sz="0" w:space="0" w:color="auto"/>
        <w:right w:val="none" w:sz="0" w:space="0" w:color="auto"/>
      </w:divBdr>
    </w:div>
    <w:div w:id="1772507862">
      <w:bodyDiv w:val="1"/>
      <w:marLeft w:val="0"/>
      <w:marRight w:val="0"/>
      <w:marTop w:val="0"/>
      <w:marBottom w:val="0"/>
      <w:divBdr>
        <w:top w:val="none" w:sz="0" w:space="0" w:color="auto"/>
        <w:left w:val="none" w:sz="0" w:space="0" w:color="auto"/>
        <w:bottom w:val="none" w:sz="0" w:space="0" w:color="auto"/>
        <w:right w:val="none" w:sz="0" w:space="0" w:color="auto"/>
      </w:divBdr>
    </w:div>
    <w:div w:id="1799951067">
      <w:bodyDiv w:val="1"/>
      <w:marLeft w:val="0"/>
      <w:marRight w:val="0"/>
      <w:marTop w:val="0"/>
      <w:marBottom w:val="0"/>
      <w:divBdr>
        <w:top w:val="none" w:sz="0" w:space="0" w:color="auto"/>
        <w:left w:val="none" w:sz="0" w:space="0" w:color="auto"/>
        <w:bottom w:val="none" w:sz="0" w:space="0" w:color="auto"/>
        <w:right w:val="none" w:sz="0" w:space="0" w:color="auto"/>
      </w:divBdr>
    </w:div>
    <w:div w:id="1809862474">
      <w:bodyDiv w:val="1"/>
      <w:marLeft w:val="0"/>
      <w:marRight w:val="0"/>
      <w:marTop w:val="0"/>
      <w:marBottom w:val="0"/>
      <w:divBdr>
        <w:top w:val="none" w:sz="0" w:space="0" w:color="auto"/>
        <w:left w:val="none" w:sz="0" w:space="0" w:color="auto"/>
        <w:bottom w:val="none" w:sz="0" w:space="0" w:color="auto"/>
        <w:right w:val="none" w:sz="0" w:space="0" w:color="auto"/>
      </w:divBdr>
    </w:div>
    <w:div w:id="1817992201">
      <w:bodyDiv w:val="1"/>
      <w:marLeft w:val="0"/>
      <w:marRight w:val="0"/>
      <w:marTop w:val="0"/>
      <w:marBottom w:val="0"/>
      <w:divBdr>
        <w:top w:val="none" w:sz="0" w:space="0" w:color="auto"/>
        <w:left w:val="none" w:sz="0" w:space="0" w:color="auto"/>
        <w:bottom w:val="none" w:sz="0" w:space="0" w:color="auto"/>
        <w:right w:val="none" w:sz="0" w:space="0" w:color="auto"/>
      </w:divBdr>
    </w:div>
    <w:div w:id="1836874141">
      <w:bodyDiv w:val="1"/>
      <w:marLeft w:val="0"/>
      <w:marRight w:val="0"/>
      <w:marTop w:val="0"/>
      <w:marBottom w:val="0"/>
      <w:divBdr>
        <w:top w:val="none" w:sz="0" w:space="0" w:color="auto"/>
        <w:left w:val="none" w:sz="0" w:space="0" w:color="auto"/>
        <w:bottom w:val="none" w:sz="0" w:space="0" w:color="auto"/>
        <w:right w:val="none" w:sz="0" w:space="0" w:color="auto"/>
      </w:divBdr>
    </w:div>
    <w:div w:id="1849447972">
      <w:bodyDiv w:val="1"/>
      <w:marLeft w:val="0"/>
      <w:marRight w:val="0"/>
      <w:marTop w:val="0"/>
      <w:marBottom w:val="0"/>
      <w:divBdr>
        <w:top w:val="none" w:sz="0" w:space="0" w:color="auto"/>
        <w:left w:val="none" w:sz="0" w:space="0" w:color="auto"/>
        <w:bottom w:val="none" w:sz="0" w:space="0" w:color="auto"/>
        <w:right w:val="none" w:sz="0" w:space="0" w:color="auto"/>
      </w:divBdr>
    </w:div>
    <w:div w:id="1906136681">
      <w:bodyDiv w:val="1"/>
      <w:marLeft w:val="0"/>
      <w:marRight w:val="0"/>
      <w:marTop w:val="0"/>
      <w:marBottom w:val="0"/>
      <w:divBdr>
        <w:top w:val="none" w:sz="0" w:space="0" w:color="auto"/>
        <w:left w:val="none" w:sz="0" w:space="0" w:color="auto"/>
        <w:bottom w:val="none" w:sz="0" w:space="0" w:color="auto"/>
        <w:right w:val="none" w:sz="0" w:space="0" w:color="auto"/>
      </w:divBdr>
      <w:divsChild>
        <w:div w:id="1895507557">
          <w:marLeft w:val="0"/>
          <w:marRight w:val="0"/>
          <w:marTop w:val="180"/>
          <w:marBottom w:val="240"/>
          <w:divBdr>
            <w:top w:val="none" w:sz="0" w:space="0" w:color="auto"/>
            <w:left w:val="none" w:sz="0" w:space="0" w:color="auto"/>
            <w:bottom w:val="none" w:sz="0" w:space="0" w:color="auto"/>
            <w:right w:val="none" w:sz="0" w:space="0" w:color="auto"/>
          </w:divBdr>
        </w:div>
      </w:divsChild>
    </w:div>
    <w:div w:id="1930889635">
      <w:bodyDiv w:val="1"/>
      <w:marLeft w:val="0"/>
      <w:marRight w:val="0"/>
      <w:marTop w:val="0"/>
      <w:marBottom w:val="0"/>
      <w:divBdr>
        <w:top w:val="none" w:sz="0" w:space="0" w:color="auto"/>
        <w:left w:val="none" w:sz="0" w:space="0" w:color="auto"/>
        <w:bottom w:val="none" w:sz="0" w:space="0" w:color="auto"/>
        <w:right w:val="none" w:sz="0" w:space="0" w:color="auto"/>
      </w:divBdr>
    </w:div>
    <w:div w:id="1969237749">
      <w:bodyDiv w:val="1"/>
      <w:marLeft w:val="0"/>
      <w:marRight w:val="0"/>
      <w:marTop w:val="0"/>
      <w:marBottom w:val="0"/>
      <w:divBdr>
        <w:top w:val="none" w:sz="0" w:space="0" w:color="auto"/>
        <w:left w:val="none" w:sz="0" w:space="0" w:color="auto"/>
        <w:bottom w:val="none" w:sz="0" w:space="0" w:color="auto"/>
        <w:right w:val="none" w:sz="0" w:space="0" w:color="auto"/>
      </w:divBdr>
    </w:div>
    <w:div w:id="1981575135">
      <w:bodyDiv w:val="1"/>
      <w:marLeft w:val="0"/>
      <w:marRight w:val="0"/>
      <w:marTop w:val="0"/>
      <w:marBottom w:val="0"/>
      <w:divBdr>
        <w:top w:val="none" w:sz="0" w:space="0" w:color="auto"/>
        <w:left w:val="none" w:sz="0" w:space="0" w:color="auto"/>
        <w:bottom w:val="none" w:sz="0" w:space="0" w:color="auto"/>
        <w:right w:val="none" w:sz="0" w:space="0" w:color="auto"/>
      </w:divBdr>
    </w:div>
    <w:div w:id="2077625548">
      <w:bodyDiv w:val="1"/>
      <w:marLeft w:val="0"/>
      <w:marRight w:val="0"/>
      <w:marTop w:val="0"/>
      <w:marBottom w:val="0"/>
      <w:divBdr>
        <w:top w:val="none" w:sz="0" w:space="0" w:color="auto"/>
        <w:left w:val="none" w:sz="0" w:space="0" w:color="auto"/>
        <w:bottom w:val="none" w:sz="0" w:space="0" w:color="auto"/>
        <w:right w:val="none" w:sz="0" w:space="0" w:color="auto"/>
      </w:divBdr>
    </w:div>
    <w:div w:id="2088456494">
      <w:bodyDiv w:val="1"/>
      <w:marLeft w:val="0"/>
      <w:marRight w:val="0"/>
      <w:marTop w:val="0"/>
      <w:marBottom w:val="0"/>
      <w:divBdr>
        <w:top w:val="none" w:sz="0" w:space="0" w:color="auto"/>
        <w:left w:val="none" w:sz="0" w:space="0" w:color="auto"/>
        <w:bottom w:val="none" w:sz="0" w:space="0" w:color="auto"/>
        <w:right w:val="none" w:sz="0" w:space="0" w:color="auto"/>
      </w:divBdr>
    </w:div>
    <w:div w:id="213694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rotopapas\Dropbox\Work\1.USA\Stats\Aluminium\Aluminium_stats_v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100"/>
            </a:pPr>
            <a:r>
              <a:rPr lang="el-GR" sz="1100"/>
              <a:t>Ισοζύγιο</a:t>
            </a:r>
            <a:r>
              <a:rPr lang="el-GR" sz="1100" baseline="0"/>
              <a:t> εισαγ.-εξαγ. </a:t>
            </a:r>
            <a:r>
              <a:rPr lang="el-GR" sz="1100"/>
              <a:t>(Αξί</a:t>
            </a:r>
            <a:r>
              <a:rPr lang="el-GR" sz="1100" baseline="0"/>
              <a:t>α εκ.</a:t>
            </a:r>
            <a:r>
              <a:rPr lang="el-GR" sz="1100"/>
              <a:t>€)</a:t>
            </a:r>
          </a:p>
        </c:rich>
      </c:tx>
      <c:layout>
        <c:manualLayout>
          <c:xMode val="edge"/>
          <c:yMode val="edge"/>
          <c:x val="0.25022592514918685"/>
          <c:y val="0"/>
        </c:manualLayout>
      </c:layout>
      <c:overlay val="0"/>
    </c:title>
    <c:autoTitleDeleted val="0"/>
    <c:plotArea>
      <c:layout>
        <c:manualLayout>
          <c:layoutTarget val="inner"/>
          <c:xMode val="edge"/>
          <c:yMode val="edge"/>
          <c:x val="0.16141251835046044"/>
          <c:y val="0.15470597317203863"/>
          <c:w val="0.76059554250633921"/>
          <c:h val="0.59184349704034733"/>
        </c:manualLayout>
      </c:layout>
      <c:barChart>
        <c:barDir val="col"/>
        <c:grouping val="clustered"/>
        <c:varyColors val="0"/>
        <c:ser>
          <c:idx val="0"/>
          <c:order val="0"/>
          <c:tx>
            <c:strRef>
              <c:f>Total!$B$5</c:f>
              <c:strCache>
                <c:ptCount val="1"/>
                <c:pt idx="0">
                  <c:v>Ελληνικές Εξαγωγές (€)</c:v>
                </c:pt>
              </c:strCache>
            </c:strRef>
          </c:tx>
          <c:spPr>
            <a:ln>
              <a:prstDash val="solid"/>
            </a:ln>
          </c:spPr>
          <c:invertIfNegative val="0"/>
          <c:cat>
            <c:numRef>
              <c:f>Total!$A$6:$A$8</c:f>
              <c:numCache>
                <c:formatCode>General</c:formatCode>
                <c:ptCount val="3"/>
                <c:pt idx="0">
                  <c:v>2024</c:v>
                </c:pt>
                <c:pt idx="1">
                  <c:v>2025</c:v>
                </c:pt>
                <c:pt idx="2">
                  <c:v>2026</c:v>
                </c:pt>
              </c:numCache>
            </c:numRef>
          </c:cat>
          <c:val>
            <c:numRef>
              <c:f>Total!$B$6:$B$8</c:f>
              <c:numCache>
                <c:formatCode>#,##0\ "€"</c:formatCode>
                <c:ptCount val="3"/>
                <c:pt idx="0">
                  <c:v>86822259</c:v>
                </c:pt>
                <c:pt idx="1">
                  <c:v>123986431</c:v>
                </c:pt>
                <c:pt idx="2">
                  <c:v>167029544</c:v>
                </c:pt>
              </c:numCache>
            </c:numRef>
          </c:val>
          <c:extLst>
            <c:ext xmlns:c16="http://schemas.microsoft.com/office/drawing/2014/chart" uri="{C3380CC4-5D6E-409C-BE32-E72D297353CC}">
              <c16:uniqueId val="{00000000-F8DD-44F4-AFA8-D685E6BBEF84}"/>
            </c:ext>
          </c:extLst>
        </c:ser>
        <c:ser>
          <c:idx val="1"/>
          <c:order val="1"/>
          <c:tx>
            <c:strRef>
              <c:f>Total!$D$5</c:f>
              <c:strCache>
                <c:ptCount val="1"/>
                <c:pt idx="0">
                  <c:v>Ελληνικές Εισαγωγές (€)</c:v>
                </c:pt>
              </c:strCache>
            </c:strRef>
          </c:tx>
          <c:spPr>
            <a:ln>
              <a:prstDash val="solid"/>
            </a:ln>
          </c:spPr>
          <c:invertIfNegative val="0"/>
          <c:cat>
            <c:numRef>
              <c:f>Total!$A$6:$A$8</c:f>
              <c:numCache>
                <c:formatCode>General</c:formatCode>
                <c:ptCount val="3"/>
                <c:pt idx="0">
                  <c:v>2024</c:v>
                </c:pt>
                <c:pt idx="1">
                  <c:v>2025</c:v>
                </c:pt>
                <c:pt idx="2">
                  <c:v>2026</c:v>
                </c:pt>
              </c:numCache>
            </c:numRef>
          </c:cat>
          <c:val>
            <c:numRef>
              <c:f>Total!$D$6:$D$8</c:f>
              <c:numCache>
                <c:formatCode>#,##0\ "€"</c:formatCode>
                <c:ptCount val="3"/>
                <c:pt idx="0">
                  <c:v>11901966</c:v>
                </c:pt>
                <c:pt idx="1">
                  <c:v>4245290</c:v>
                </c:pt>
                <c:pt idx="2">
                  <c:v>4050494</c:v>
                </c:pt>
              </c:numCache>
            </c:numRef>
          </c:val>
          <c:extLst>
            <c:ext xmlns:c16="http://schemas.microsoft.com/office/drawing/2014/chart" uri="{C3380CC4-5D6E-409C-BE32-E72D297353CC}">
              <c16:uniqueId val="{00000001-F8DD-44F4-AFA8-D685E6BBEF84}"/>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crossAx val="100"/>
        <c:crosses val="autoZero"/>
        <c:auto val="0"/>
        <c:lblAlgn val="ctr"/>
        <c:lblOffset val="100"/>
        <c:noMultiLvlLbl val="0"/>
      </c:catAx>
      <c:valAx>
        <c:axId val="100"/>
        <c:scaling>
          <c:orientation val="minMax"/>
        </c:scaling>
        <c:delete val="0"/>
        <c:axPos val="l"/>
        <c:majorGridlines/>
        <c:numFmt formatCode="#,##0\ &quot;€&quot;" sourceLinked="1"/>
        <c:majorTickMark val="none"/>
        <c:minorTickMark val="none"/>
        <c:tickLblPos val="nextTo"/>
        <c:crossAx val="10"/>
        <c:crosses val="autoZero"/>
        <c:crossBetween val="between"/>
        <c:dispUnits>
          <c:builtInUnit val="millions"/>
          <c:dispUnitsLbl/>
        </c:dispUnits>
      </c:valAx>
    </c:plotArea>
    <c:legend>
      <c:legendPos val="r"/>
      <c:layout>
        <c:manualLayout>
          <c:xMode val="edge"/>
          <c:yMode val="edge"/>
          <c:x val="0.143702976111037"/>
          <c:y val="0.86663419324836644"/>
          <c:w val="0.73155126117709868"/>
          <c:h val="8.5917838544942268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1E4DA-5FA0-469F-B6F9-F2F8A9EEE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Intern3</dc:creator>
  <cp:keywords/>
  <dc:description/>
  <cp:lastModifiedBy>Dionysios Protopapas</cp:lastModifiedBy>
  <cp:revision>4</cp:revision>
  <cp:lastPrinted>2026-08-19T18:47:00Z</cp:lastPrinted>
  <dcterms:created xsi:type="dcterms:W3CDTF">2026-10-30T21:36:00Z</dcterms:created>
  <dcterms:modified xsi:type="dcterms:W3CDTF">2026-10-30T21:40:00Z</dcterms:modified>
</cp:coreProperties>
</file>